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auto"/>
          <w:sz w:val="30"/>
          <w:szCs w:val="30"/>
          <w:highlight w:val="none"/>
        </w:rPr>
      </w:pPr>
      <w:r>
        <w:rPr>
          <w:rFonts w:hint="eastAsia" w:ascii="宋体" w:hAnsi="宋体" w:cs="宋体"/>
          <w:b/>
          <w:bCs/>
          <w:color w:val="auto"/>
          <w:sz w:val="32"/>
          <w:szCs w:val="32"/>
          <w:highlight w:val="none"/>
        </w:rPr>
        <w:t xml:space="preserve">  </w:t>
      </w:r>
    </w:p>
    <w:p>
      <w:pPr>
        <w:pStyle w:val="48"/>
        <w:ind w:left="0" w:leftChars="0" w:firstLine="0" w:firstLineChars="0"/>
        <w:jc w:val="center"/>
        <w:rPr>
          <w:color w:val="auto"/>
          <w:highlight w:val="none"/>
        </w:rPr>
      </w:pPr>
      <w:r>
        <w:rPr>
          <w:rFonts w:hint="eastAsia" w:hAnsi="宋体" w:cs="宋体"/>
          <w:b/>
          <w:bCs/>
          <w:color w:val="auto"/>
          <w:sz w:val="32"/>
          <w:szCs w:val="32"/>
          <w:lang w:val="en-US" w:eastAsia="zh-CN"/>
        </w:rPr>
        <w:t>2022年“奔跑吧·少年”系列赛事活动服务项目</w:t>
      </w:r>
    </w:p>
    <w:p>
      <w:pPr>
        <w:pStyle w:val="48"/>
        <w:rPr>
          <w:color w:val="auto"/>
          <w:highlight w:val="none"/>
        </w:rPr>
      </w:pPr>
    </w:p>
    <w:p>
      <w:pPr>
        <w:pStyle w:val="4"/>
        <w:rPr>
          <w:color w:val="auto"/>
          <w:sz w:val="30"/>
          <w:szCs w:val="30"/>
          <w:highlight w:val="none"/>
        </w:rPr>
      </w:pPr>
    </w:p>
    <w:p>
      <w:pPr>
        <w:spacing w:line="360" w:lineRule="auto"/>
        <w:jc w:val="center"/>
        <w:rPr>
          <w:rFonts w:hint="eastAsia" w:ascii="宋体" w:hAnsi="宋体" w:eastAsia="宋体" w:cs="Times New Roman"/>
          <w:b/>
          <w:color w:val="auto"/>
          <w:sz w:val="28"/>
          <w:szCs w:val="28"/>
          <w:highlight w:val="none"/>
        </w:rPr>
      </w:pPr>
      <w:r>
        <w:rPr>
          <w:rFonts w:hint="eastAsia" w:ascii="Times New Roman" w:hAnsi="Times New Roman" w:eastAsia="幼圆" w:cs="Times New Roman"/>
          <w:b/>
          <w:shadow/>
          <w:color w:val="auto"/>
          <w:sz w:val="80"/>
          <w:szCs w:val="80"/>
          <w:highlight w:val="none"/>
        </w:rPr>
        <w:t>竞争性磋商文件</w:t>
      </w:r>
    </w:p>
    <w:p>
      <w:pPr>
        <w:spacing w:line="560" w:lineRule="exact"/>
        <w:ind w:firstLine="2249" w:firstLineChars="800"/>
        <w:jc w:val="both"/>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8"/>
          <w:highlight w:val="none"/>
        </w:rPr>
        <w:t>项目编号：焦公资采购F2022－161号</w:t>
      </w:r>
    </w:p>
    <w:p>
      <w:pPr>
        <w:spacing w:line="560" w:lineRule="exact"/>
        <w:ind w:firstLine="2249" w:firstLineChars="800"/>
        <w:jc w:val="both"/>
        <w:rPr>
          <w:rFonts w:hint="eastAsia" w:ascii="宋体" w:hAnsi="宋体" w:eastAsia="宋体" w:cs="Times New Roman"/>
          <w:b/>
          <w:color w:val="auto"/>
          <w:sz w:val="28"/>
          <w:szCs w:val="28"/>
          <w:highlight w:val="none"/>
        </w:rPr>
      </w:pPr>
    </w:p>
    <w:p>
      <w:pPr>
        <w:jc w:val="center"/>
        <w:rPr>
          <w:color w:val="auto"/>
          <w:sz w:val="30"/>
          <w:szCs w:val="30"/>
          <w:highlight w:val="none"/>
        </w:rPr>
      </w:pPr>
    </w:p>
    <w:p>
      <w:pPr>
        <w:pStyle w:val="6"/>
        <w:rPr>
          <w:color w:val="auto"/>
          <w:highlight w:val="none"/>
        </w:rPr>
      </w:pPr>
    </w:p>
    <w:p>
      <w:pPr>
        <w:jc w:val="center"/>
        <w:rPr>
          <w:color w:val="auto"/>
          <w:sz w:val="30"/>
          <w:szCs w:val="30"/>
          <w:highlight w:val="none"/>
        </w:rPr>
      </w:pPr>
      <w:r>
        <w:rPr>
          <w:rFonts w:hint="eastAsia"/>
          <w:color w:val="auto"/>
          <w:sz w:val="30"/>
          <w:szCs w:val="30"/>
          <w:highlight w:val="none"/>
        </w:rPr>
        <w:drawing>
          <wp:inline distT="0" distB="0" distL="0" distR="0">
            <wp:extent cx="1581150" cy="1581150"/>
            <wp:effectExtent l="0" t="0" r="0" b="0"/>
            <wp:docPr id="6" name="图片 2" descr="OSF_YQM~5]QTQY6$W~6NQ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OSF_YQM~5]QTQY6$W~6NQ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1150" cy="1581150"/>
                    </a:xfrm>
                    <a:prstGeom prst="rect">
                      <a:avLst/>
                    </a:prstGeom>
                    <a:noFill/>
                    <a:ln>
                      <a:noFill/>
                    </a:ln>
                  </pic:spPr>
                </pic:pic>
              </a:graphicData>
            </a:graphic>
          </wp:inline>
        </w:drawing>
      </w:r>
    </w:p>
    <w:p>
      <w:pPr>
        <w:jc w:val="center"/>
        <w:rPr>
          <w:color w:val="auto"/>
          <w:sz w:val="30"/>
          <w:szCs w:val="30"/>
          <w:highlight w:val="none"/>
        </w:rPr>
      </w:pPr>
    </w:p>
    <w:p>
      <w:pPr>
        <w:rPr>
          <w:color w:val="auto"/>
          <w:sz w:val="30"/>
          <w:szCs w:val="30"/>
          <w:highlight w:val="none"/>
        </w:rPr>
      </w:pPr>
    </w:p>
    <w:p>
      <w:pPr>
        <w:jc w:val="center"/>
        <w:rPr>
          <w:rFonts w:ascii="仿宋" w:hAnsi="仿宋" w:eastAsia="仿宋" w:cs="仿宋"/>
          <w:color w:val="auto"/>
          <w:sz w:val="30"/>
          <w:szCs w:val="30"/>
          <w:highlight w:val="none"/>
        </w:rPr>
      </w:pPr>
    </w:p>
    <w:p>
      <w:pPr>
        <w:spacing w:line="560" w:lineRule="exact"/>
        <w:ind w:firstLine="1405" w:firstLineChars="500"/>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rPr>
        <w:t>采   购   人：焦作市体育局</w:t>
      </w:r>
    </w:p>
    <w:p>
      <w:pPr>
        <w:spacing w:line="560" w:lineRule="exact"/>
        <w:ind w:firstLine="1405" w:firstLineChars="500"/>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采购代理机构：焦作市公共资源项目服务有限责任公司</w:t>
      </w:r>
    </w:p>
    <w:p>
      <w:pPr>
        <w:spacing w:line="560" w:lineRule="exact"/>
        <w:ind w:firstLine="1405" w:firstLineChars="500"/>
        <w:rPr>
          <w:rFonts w:hint="eastAsia" w:ascii="宋体" w:hAnsi="宋体" w:eastAsia="宋体" w:cs="Times New Roman"/>
          <w:b/>
          <w:bCs/>
          <w:color w:val="auto"/>
          <w:sz w:val="28"/>
          <w:szCs w:val="28"/>
          <w:highlight w:val="none"/>
          <w:lang w:eastAsia="zh-CN"/>
        </w:rPr>
        <w:sectPr>
          <w:headerReference r:id="rId3" w:type="default"/>
          <w:footerReference r:id="rId4" w:type="default"/>
          <w:pgSz w:w="11907" w:h="16840"/>
          <w:pgMar w:top="1271" w:right="1474" w:bottom="1489"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Times New Roman"/>
          <w:b/>
          <w:bCs/>
          <w:color w:val="auto"/>
          <w:sz w:val="28"/>
          <w:szCs w:val="28"/>
          <w:highlight w:val="none"/>
        </w:rPr>
        <w:t>日        期：二〇二</w:t>
      </w:r>
      <w:r>
        <w:rPr>
          <w:rFonts w:hint="eastAsia" w:ascii="宋体" w:hAnsi="宋体" w:cs="Times New Roman"/>
          <w:b/>
          <w:bCs/>
          <w:color w:val="auto"/>
          <w:sz w:val="28"/>
          <w:szCs w:val="28"/>
          <w:highlight w:val="none"/>
          <w:lang w:val="en-US" w:eastAsia="zh-CN"/>
        </w:rPr>
        <w:t>二</w:t>
      </w:r>
      <w:r>
        <w:rPr>
          <w:rFonts w:hint="eastAsia" w:ascii="宋体" w:hAnsi="宋体" w:eastAsia="宋体" w:cs="Times New Roman"/>
          <w:b/>
          <w:bCs/>
          <w:color w:val="auto"/>
          <w:sz w:val="28"/>
          <w:szCs w:val="28"/>
          <w:highlight w:val="none"/>
        </w:rPr>
        <w:t>年</w:t>
      </w:r>
      <w:r>
        <w:rPr>
          <w:rFonts w:hint="eastAsia" w:ascii="宋体" w:hAnsi="宋体" w:cs="Times New Roman"/>
          <w:b/>
          <w:bCs/>
          <w:color w:val="auto"/>
          <w:sz w:val="28"/>
          <w:szCs w:val="28"/>
          <w:highlight w:val="none"/>
          <w:lang w:val="en-US" w:eastAsia="zh-CN"/>
        </w:rPr>
        <w:t>九</w:t>
      </w:r>
      <w:r>
        <w:rPr>
          <w:rFonts w:hint="eastAsia" w:ascii="宋体" w:hAnsi="宋体" w:eastAsia="宋体" w:cs="Times New Roman"/>
          <w:b/>
          <w:bCs/>
          <w:color w:val="auto"/>
          <w:sz w:val="28"/>
          <w:szCs w:val="28"/>
          <w:highlight w:val="none"/>
        </w:rPr>
        <w:t>月</w:t>
      </w:r>
    </w:p>
    <w:p>
      <w:pPr>
        <w:spacing w:line="560" w:lineRule="exact"/>
        <w:jc w:val="center"/>
        <w:rPr>
          <w:rFonts w:hint="eastAsia" w:ascii="宋体" w:hAnsi="宋体" w:cs="宋体"/>
          <w:b/>
          <w:color w:val="auto"/>
          <w:sz w:val="30"/>
          <w:szCs w:val="30"/>
          <w:highlight w:val="none"/>
        </w:rPr>
      </w:pPr>
    </w:p>
    <w:p>
      <w:pPr>
        <w:spacing w:line="560" w:lineRule="exact"/>
        <w:jc w:val="center"/>
        <w:rPr>
          <w:rFonts w:hint="eastAsia"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目     录</w:t>
      </w:r>
    </w:p>
    <w:p>
      <w:pPr>
        <w:ind w:firstLine="2940"/>
        <w:rPr>
          <w:rFonts w:ascii="宋体" w:hAnsi="宋体" w:cs="宋体"/>
          <w:b/>
          <w:color w:val="auto"/>
          <w:sz w:val="30"/>
          <w:szCs w:val="30"/>
          <w:highlight w:val="none"/>
        </w:rPr>
      </w:pPr>
    </w:p>
    <w:p>
      <w:pPr>
        <w:ind w:firstLine="2940"/>
        <w:rPr>
          <w:rFonts w:ascii="宋体" w:hAnsi="宋体" w:cs="宋体"/>
          <w:b/>
          <w:color w:val="auto"/>
          <w:sz w:val="30"/>
          <w:szCs w:val="30"/>
          <w:highlight w:val="none"/>
        </w:rPr>
      </w:pPr>
    </w:p>
    <w:p>
      <w:pPr>
        <w:spacing w:line="800" w:lineRule="exact"/>
        <w:ind w:firstLine="2108" w:firstLineChars="700"/>
        <w:rPr>
          <w:rFonts w:ascii="宋体" w:hAnsi="宋体" w:cs="宋体"/>
          <w:b/>
          <w:color w:val="auto"/>
          <w:sz w:val="30"/>
          <w:szCs w:val="30"/>
          <w:highlight w:val="none"/>
        </w:rPr>
      </w:pPr>
      <w:r>
        <w:rPr>
          <w:rFonts w:hint="eastAsia" w:ascii="宋体" w:hAnsi="宋体" w:cs="宋体"/>
          <w:b/>
          <w:color w:val="auto"/>
          <w:sz w:val="30"/>
          <w:szCs w:val="30"/>
          <w:highlight w:val="none"/>
        </w:rPr>
        <w:t>第一章  竞争性磋商邀请函</w:t>
      </w:r>
    </w:p>
    <w:p>
      <w:pPr>
        <w:spacing w:line="800" w:lineRule="exact"/>
        <w:ind w:firstLine="2108" w:firstLineChars="700"/>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第二章  供应商须知 </w:t>
      </w:r>
    </w:p>
    <w:p>
      <w:pPr>
        <w:spacing w:line="800" w:lineRule="exact"/>
        <w:ind w:firstLine="2108" w:firstLineChars="700"/>
        <w:rPr>
          <w:rFonts w:ascii="宋体" w:hAnsi="宋体" w:cs="宋体"/>
          <w:b/>
          <w:color w:val="auto"/>
          <w:sz w:val="30"/>
          <w:szCs w:val="30"/>
          <w:highlight w:val="none"/>
        </w:rPr>
      </w:pPr>
      <w:r>
        <w:rPr>
          <w:rFonts w:hint="eastAsia" w:ascii="宋体" w:hAnsi="宋体" w:cs="宋体"/>
          <w:b/>
          <w:color w:val="auto"/>
          <w:sz w:val="30"/>
          <w:szCs w:val="30"/>
          <w:highlight w:val="none"/>
        </w:rPr>
        <w:t>第三章  采购需求</w:t>
      </w:r>
    </w:p>
    <w:p>
      <w:pPr>
        <w:spacing w:line="800" w:lineRule="exact"/>
        <w:ind w:firstLine="2108" w:firstLineChars="700"/>
        <w:rPr>
          <w:rFonts w:ascii="宋体" w:hAnsi="宋体" w:cs="宋体"/>
          <w:b/>
          <w:color w:val="auto"/>
          <w:sz w:val="30"/>
          <w:szCs w:val="30"/>
          <w:highlight w:val="none"/>
        </w:rPr>
      </w:pPr>
      <w:r>
        <w:rPr>
          <w:rFonts w:hint="eastAsia" w:ascii="宋体" w:hAnsi="宋体" w:cs="宋体"/>
          <w:b/>
          <w:color w:val="auto"/>
          <w:sz w:val="30"/>
          <w:szCs w:val="30"/>
          <w:highlight w:val="none"/>
        </w:rPr>
        <w:t>第四章  响应性文件内容及格式</w:t>
      </w:r>
    </w:p>
    <w:p>
      <w:pPr>
        <w:spacing w:line="800" w:lineRule="exact"/>
        <w:ind w:firstLine="2108" w:firstLineChars="7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第五章  合同主要条款</w:t>
      </w:r>
      <w:r>
        <w:rPr>
          <w:rFonts w:hint="eastAsia" w:ascii="宋体" w:hAnsi="宋体" w:cs="宋体"/>
          <w:b/>
          <w:color w:val="auto"/>
          <w:sz w:val="30"/>
          <w:szCs w:val="30"/>
          <w:highlight w:val="none"/>
          <w:lang w:eastAsia="zh-CN"/>
        </w:rPr>
        <w:t>（参考）</w:t>
      </w:r>
    </w:p>
    <w:p>
      <w:pPr>
        <w:jc w:val="center"/>
        <w:rPr>
          <w:rFonts w:ascii="仿宋_GB2312" w:eastAsia="仿宋_GB2312"/>
          <w:b/>
          <w:color w:val="auto"/>
          <w:sz w:val="30"/>
          <w:szCs w:val="30"/>
          <w:highlight w:val="none"/>
        </w:rPr>
      </w:pPr>
    </w:p>
    <w:p>
      <w:pPr>
        <w:jc w:val="center"/>
        <w:rPr>
          <w:rFonts w:ascii="宋体" w:hAnsi="宋体" w:cs="宋体"/>
          <w:b/>
          <w:color w:val="auto"/>
          <w:sz w:val="30"/>
          <w:szCs w:val="30"/>
          <w:highlight w:val="none"/>
        </w:rPr>
      </w:pPr>
      <w:r>
        <w:rPr>
          <w:rFonts w:hint="eastAsia"/>
          <w:color w:val="auto"/>
          <w:sz w:val="30"/>
          <w:szCs w:val="30"/>
          <w:highlight w:val="none"/>
        </w:rPr>
        <w:t xml:space="preserve">  </w:t>
      </w: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both"/>
        <w:rPr>
          <w:rFonts w:ascii="宋体" w:hAnsi="宋体" w:cs="宋体"/>
          <w:b/>
          <w:color w:val="auto"/>
          <w:sz w:val="30"/>
          <w:szCs w:val="30"/>
          <w:highlight w:val="none"/>
        </w:rPr>
      </w:pPr>
    </w:p>
    <w:p>
      <w:pPr>
        <w:numPr>
          <w:ilvl w:val="0"/>
          <w:numId w:val="2"/>
        </w:num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竞争性磋商邀请函</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项目概况：</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2022年“奔跑吧·少年”系列赛事活动服务项目的潜在供应商应在焦作市公共资源交易中心网站获取竞争性磋商文件，并于2022年9月23日9时00分（北京时间）前提交响应文件。</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一、项目基本情况</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项目编号：焦公资采购F2022－161号</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2.项目名称：2022年“奔跑吧·少年”系列赛事活动服务项目</w:t>
      </w:r>
    </w:p>
    <w:p>
      <w:pPr>
        <w:pStyle w:val="4"/>
        <w:keepNext w:val="0"/>
        <w:keepLines w:val="0"/>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采购人式：竞争性磋商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预算</w:t>
      </w:r>
      <w:r>
        <w:rPr>
          <w:rFonts w:hint="eastAsia" w:ascii="仿宋" w:hAnsi="仿宋" w:eastAsia="仿宋" w:cs="仿宋"/>
          <w:color w:val="auto"/>
          <w:sz w:val="28"/>
          <w:szCs w:val="28"/>
          <w:highlight w:val="none"/>
          <w:lang w:eastAsia="zh-CN"/>
        </w:rPr>
        <w:t>金额</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人民币</w:t>
      </w:r>
      <w:r>
        <w:rPr>
          <w:rFonts w:hint="eastAsia" w:ascii="仿宋" w:hAnsi="仿宋" w:eastAsia="仿宋" w:cs="仿宋"/>
          <w:color w:val="auto"/>
          <w:sz w:val="28"/>
          <w:szCs w:val="28"/>
          <w:lang w:val="en-US" w:eastAsia="zh-CN"/>
        </w:rPr>
        <w:t>490,000.00</w:t>
      </w:r>
      <w:r>
        <w:rPr>
          <w:rFonts w:hint="eastAsia" w:ascii="仿宋" w:hAnsi="仿宋" w:eastAsia="仿宋" w:cs="仿宋"/>
          <w:color w:val="auto"/>
          <w:sz w:val="28"/>
          <w:szCs w:val="28"/>
        </w:rPr>
        <w:t>元（大写：</w:t>
      </w:r>
      <w:r>
        <w:rPr>
          <w:rFonts w:hint="eastAsia" w:ascii="仿宋" w:hAnsi="仿宋" w:eastAsia="仿宋" w:cs="仿宋"/>
          <w:color w:val="auto"/>
          <w:sz w:val="28"/>
          <w:szCs w:val="28"/>
          <w:lang w:val="en-US" w:eastAsia="zh-CN"/>
        </w:rPr>
        <w:t>肆拾玖万元整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p>
    <w:p>
      <w:pPr>
        <w:pStyle w:val="10"/>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lang w:val="en-US" w:eastAsia="zh-CN"/>
        </w:rPr>
        <w:t>需求：</w:t>
      </w:r>
      <w:r>
        <w:rPr>
          <w:rFonts w:hint="eastAsia" w:ascii="仿宋" w:hAnsi="仿宋" w:eastAsia="仿宋" w:cs="仿宋"/>
          <w:color w:val="auto"/>
          <w:sz w:val="28"/>
          <w:szCs w:val="28"/>
        </w:rPr>
        <w:t>（包括但不限于标的的名称、数量、简要技术需求或服务要求等）</w:t>
      </w:r>
      <w:r>
        <w:rPr>
          <w:rFonts w:hint="eastAsia" w:ascii="仿宋" w:hAnsi="仿宋" w:eastAsia="仿宋" w:cs="仿宋"/>
          <w:color w:val="auto"/>
          <w:sz w:val="28"/>
          <w:szCs w:val="28"/>
          <w:lang w:val="en-US" w:eastAsia="zh-CN"/>
        </w:rPr>
        <w:t>组织开展焦作市2022年“奔跑吧·少年”系列赛事活动服务。（详见磋商文件第三部分）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6.合同履行期限：系列赛事活动服务结束。   </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7.本项目是否接受联合体投标：否</w:t>
      </w:r>
      <w:r>
        <w:rPr>
          <w:rFonts w:hint="eastAsia" w:ascii="仿宋_GB2312" w:hAnsi="宋体" w:eastAsia="仿宋_GB2312" w:cs="宋体"/>
          <w:color w:val="auto"/>
          <w:sz w:val="30"/>
          <w:szCs w:val="30"/>
          <w:highlight w:val="none"/>
        </w:rPr>
        <w:t>。</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是否接受进口产品：否。</w:t>
      </w:r>
    </w:p>
    <w:p>
      <w:pPr>
        <w:keepNext w:val="0"/>
        <w:keepLines w:val="0"/>
        <w:pageBreakBefore w:val="0"/>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申请人的</w:t>
      </w:r>
      <w:r>
        <w:rPr>
          <w:rFonts w:hint="eastAsia" w:ascii="仿宋" w:hAnsi="仿宋" w:eastAsia="仿宋" w:cs="仿宋"/>
          <w:b/>
          <w:bCs/>
          <w:color w:val="auto"/>
          <w:sz w:val="28"/>
          <w:szCs w:val="28"/>
          <w:highlight w:val="none"/>
        </w:rPr>
        <w:t>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both"/>
        <w:textAlignment w:val="baseline"/>
        <w:rPr>
          <w:rFonts w:hint="default" w:ascii="仿宋_GB2312" w:eastAsia="仿宋_GB2312"/>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2、落实政府采购政策满足的资格要求</w:t>
      </w:r>
      <w:r>
        <w:rPr>
          <w:rFonts w:hint="eastAsia" w:ascii="仿宋_GB2312" w:eastAsia="仿宋_GB2312"/>
          <w:color w:val="auto"/>
          <w:sz w:val="28"/>
          <w:szCs w:val="28"/>
          <w:highlight w:val="none"/>
          <w:lang w:val="en-US" w:eastAsia="zh-CN"/>
        </w:rPr>
        <w:t>： /</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3.1供应商行贿犯罪档案记录（磋商会当日中国裁判文书网的信息）；</w:t>
      </w:r>
    </w:p>
    <w:p>
      <w:pPr>
        <w:keepNext w:val="0"/>
        <w:keepLines w:val="0"/>
        <w:pageBreakBefore w:val="0"/>
        <w:tabs>
          <w:tab w:val="left" w:pos="6960"/>
        </w:tabs>
        <w:kinsoku/>
        <w:wordWrap/>
        <w:overflowPunct/>
        <w:topLinePunct w:val="0"/>
        <w:autoSpaceDN/>
        <w:bidi w:val="0"/>
        <w:snapToGrid/>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3.2按照《财政部关于在政府采购活动中查询及使用信用记录有关问题</w:t>
      </w:r>
      <w:r>
        <w:rPr>
          <w:rFonts w:hint="eastAsia" w:ascii="仿宋" w:hAnsi="仿宋" w:eastAsia="仿宋" w:cs="仿宋"/>
          <w:color w:val="auto"/>
          <w:sz w:val="28"/>
          <w:szCs w:val="28"/>
          <w:highlight w:val="none"/>
        </w:rPr>
        <w:t>的通知》（财库〔2016〕125号）的要求，根据磋商会当日“信用中国”网站（www.creditchina.gov.cn）、中国政府采购网（www.ccgp.gov.cn）的信息，对列入失信被执行人、重大税收违法</w:t>
      </w:r>
      <w:r>
        <w:rPr>
          <w:rFonts w:hint="eastAsia" w:ascii="仿宋" w:hAnsi="仿宋" w:eastAsia="仿宋" w:cs="仿宋"/>
          <w:color w:val="auto"/>
          <w:sz w:val="28"/>
          <w:szCs w:val="28"/>
          <w:highlight w:val="none"/>
          <w:lang w:val="en-US" w:eastAsia="zh-CN"/>
        </w:rPr>
        <w:t>失信主体</w:t>
      </w:r>
      <w:r>
        <w:rPr>
          <w:rFonts w:hint="eastAsia" w:ascii="仿宋" w:hAnsi="仿宋" w:eastAsia="仿宋" w:cs="仿宋"/>
          <w:color w:val="auto"/>
          <w:sz w:val="28"/>
          <w:szCs w:val="28"/>
          <w:highlight w:val="none"/>
        </w:rPr>
        <w:t>、政府采购严重违法失信行为记录名单的供应商，拒绝参与政府采购活动，同时对信用信息查询记录和证据进行打印存档</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备注：以上第</w:t>
      </w:r>
      <w:r>
        <w:rPr>
          <w:rFonts w:hint="eastAsia" w:ascii="仿宋" w:hAnsi="仿宋" w:eastAsia="仿宋" w:cs="仿宋"/>
          <w:b/>
          <w:bCs/>
          <w:color w:val="auto"/>
          <w:sz w:val="28"/>
          <w:szCs w:val="28"/>
          <w:highlight w:val="none"/>
          <w:lang w:val="en-US" w:eastAsia="zh-CN"/>
        </w:rPr>
        <w:t>3.1</w:t>
      </w:r>
      <w:r>
        <w:rPr>
          <w:rFonts w:hint="eastAsia" w:ascii="仿宋" w:hAnsi="仿宋" w:eastAsia="仿宋" w:cs="仿宋"/>
          <w:b/>
          <w:bCs/>
          <w:color w:val="auto"/>
          <w:sz w:val="28"/>
          <w:szCs w:val="28"/>
          <w:highlight w:val="none"/>
        </w:rPr>
        <w:t>条和第</w:t>
      </w:r>
      <w:r>
        <w:rPr>
          <w:rFonts w:hint="eastAsia" w:ascii="仿宋" w:hAnsi="仿宋" w:eastAsia="仿宋" w:cs="仿宋"/>
          <w:b/>
          <w:bCs/>
          <w:color w:val="auto"/>
          <w:sz w:val="28"/>
          <w:szCs w:val="28"/>
          <w:highlight w:val="none"/>
          <w:lang w:val="en-US" w:eastAsia="zh-CN"/>
        </w:rPr>
        <w:t>3.2</w:t>
      </w:r>
      <w:r>
        <w:rPr>
          <w:rFonts w:hint="eastAsia" w:ascii="仿宋" w:hAnsi="仿宋" w:eastAsia="仿宋" w:cs="仿宋"/>
          <w:b/>
          <w:bCs/>
          <w:color w:val="auto"/>
          <w:sz w:val="28"/>
          <w:szCs w:val="28"/>
          <w:highlight w:val="none"/>
        </w:rPr>
        <w:t>条由采购代理机构提供查询结果。</w:t>
      </w:r>
    </w:p>
    <w:p>
      <w:pPr>
        <w:keepNext w:val="0"/>
        <w:keepLines w:val="0"/>
        <w:pageBreakBefore w:val="0"/>
        <w:kinsoku/>
        <w:wordWrap/>
        <w:overflowPunct/>
        <w:topLinePunct w:val="0"/>
        <w:autoSpaceDE/>
        <w:autoSpaceDN/>
        <w:bidi w:val="0"/>
        <w:snapToGrid/>
        <w:spacing w:line="56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、获取竞争性磋商文件</w:t>
      </w:r>
    </w:p>
    <w:p>
      <w:pPr>
        <w:pStyle w:val="24"/>
        <w:keepNext w:val="0"/>
        <w:keepLines w:val="0"/>
        <w:pageBreakBefore w:val="0"/>
        <w:widowControl/>
        <w:suppressLineNumbers w:val="0"/>
        <w:kinsoku/>
        <w:wordWrap/>
        <w:overflowPunct/>
        <w:topLinePunct w:val="0"/>
        <w:autoSpaceDE w:val="0"/>
        <w:autoSpaceDN/>
        <w:bidi w:val="0"/>
        <w:snapToGrid/>
        <w:spacing w:before="0" w:beforeAutospacing="0" w:after="0" w:afterAutospacing="0" w:line="560" w:lineRule="exact"/>
        <w:ind w:right="0"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时间：</w:t>
      </w:r>
      <w:r>
        <w:rPr>
          <w:rFonts w:hint="eastAsia" w:ascii="仿宋" w:hAnsi="仿宋" w:eastAsia="仿宋" w:cs="仿宋"/>
          <w:color w:val="auto"/>
          <w:sz w:val="28"/>
          <w:szCs w:val="28"/>
          <w:highlight w:val="none"/>
          <w:lang w:val="en-US" w:eastAsia="zh-CN"/>
        </w:rPr>
        <w:t xml:space="preserve">2022年9月13日至2022年9月19日（北京时间），每天上午08:00至12:00，下午12:00至23:00（北京时间，法定节假日除外。）； </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2.地点：焦作市公共资源交易中心网站;</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val="en-US" w:eastAsia="zh-CN"/>
        </w:rPr>
        <w:t>本项目采用网上获取竞争性磋商文件，凡有意参加者，请登陆焦作市公共资源交易中心网站“交易平台”栏目进行网上下载竞争性磋商文件；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售价：0元。</w:t>
      </w:r>
    </w:p>
    <w:p>
      <w:pPr>
        <w:keepNext w:val="0"/>
        <w:keepLines w:val="0"/>
        <w:pageBreakBefore w:val="0"/>
        <w:widowControl/>
        <w:kinsoku/>
        <w:wordWrap/>
        <w:overflowPunct/>
        <w:topLinePunct w:val="0"/>
        <w:autoSpaceDE/>
        <w:autoSpaceDN/>
        <w:bidi w:val="0"/>
        <w:snapToGrid/>
        <w:spacing w:line="5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四</w:t>
      </w:r>
      <w:r>
        <w:rPr>
          <w:rFonts w:hint="eastAsia" w:ascii="仿宋" w:hAnsi="仿宋" w:eastAsia="仿宋" w:cs="仿宋"/>
          <w:b/>
          <w:bCs/>
          <w:color w:val="auto"/>
          <w:sz w:val="28"/>
          <w:szCs w:val="28"/>
          <w:highlight w:val="none"/>
        </w:rPr>
        <w:t>、响应文件提交</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截止</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分（北京时间）</w:t>
      </w:r>
      <w:r>
        <w:rPr>
          <w:rFonts w:hint="eastAsia" w:ascii="仿宋" w:hAnsi="仿宋" w:eastAsia="仿宋" w:cs="仿宋"/>
          <w:color w:val="auto"/>
          <w:sz w:val="28"/>
          <w:szCs w:val="28"/>
          <w:highlight w:val="none"/>
          <w:lang w:val="en-US" w:eastAsia="zh-CN"/>
        </w:rPr>
        <w:t>；</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地点：加密电子响应性文件须在响应性文件提交截止时间前通过“焦作市公共资源交易中心（http://www.jzggzy.cn/）”网站-交易平台加密上传。</w:t>
      </w:r>
    </w:p>
    <w:p>
      <w:pPr>
        <w:keepNext w:val="0"/>
        <w:keepLines w:val="0"/>
        <w:pageBreakBefore w:val="0"/>
        <w:widowControl/>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、响应文件开启</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分（北京时间）</w:t>
      </w:r>
      <w:r>
        <w:rPr>
          <w:rFonts w:hint="eastAsia" w:ascii="仿宋" w:hAnsi="仿宋" w:eastAsia="仿宋" w:cs="仿宋"/>
          <w:color w:val="auto"/>
          <w:sz w:val="28"/>
          <w:szCs w:val="28"/>
          <w:highlight w:val="none"/>
          <w:lang w:val="en-US" w:eastAsia="zh-CN"/>
        </w:rPr>
        <w:t>；</w:t>
      </w:r>
    </w:p>
    <w:p>
      <w:pPr>
        <w:keepNext w:val="0"/>
        <w:keepLines w:val="0"/>
        <w:pageBreakBefore w:val="0"/>
        <w:widowControl/>
        <w:kinsoku/>
        <w:wordWrap/>
        <w:overflowPunct/>
        <w:topLinePunct w:val="0"/>
        <w:autoSpaceDE/>
        <w:autoSpaceDN/>
        <w:bidi w:val="0"/>
        <w:snapToGrid/>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地点：焦作市人民路889号阳光大厦B座焦作市公共资源交易中心</w:t>
      </w:r>
      <w:r>
        <w:rPr>
          <w:rFonts w:hint="eastAsia" w:ascii="仿宋" w:hAnsi="仿宋" w:eastAsia="仿宋" w:cs="仿宋"/>
          <w:color w:val="auto"/>
          <w:sz w:val="28"/>
          <w:szCs w:val="28"/>
          <w:lang w:val="en-US" w:eastAsia="zh-CN"/>
        </w:rPr>
        <w:t>开标1室</w:t>
      </w:r>
      <w:bookmarkStart w:id="4" w:name="_GoBack"/>
      <w:bookmarkEnd w:id="4"/>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六、公告期限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本次</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公告在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焦作市公共资源交易中心网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上发布。</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公告期限为</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个工作日</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napToGrid/>
        <w:spacing w:line="560" w:lineRule="exact"/>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七、其他补充事宜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1.请各供应商提前办理 CA 数字证书，并学习电子响应性文件制作。加密的电子响应性文件须使用CA数字证书上传。为防止网络拥堵等不可控因素影响加密的电子响应性文件上传，请各供应商提前上传，因未能及时上传导致投标失败的责任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2.按要求进行网上获取并下载竞争性磋商文件,凡未在规定时间内获取竞争性磋商文件者视为无效标。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获取竞争性磋商文件后，请下载并安装最新版本投标文件制作工具，制作电子响应性文件，在响应性文件提交截止时间前，上传加密的响应性文件。供应商未在响应性文件提交截止时间前完成上传的，视为逾期送达，焦作市电子招投标交易平台将拒绝接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color w:val="auto"/>
          <w:lang w:val="en-US" w:eastAsia="zh-CN"/>
        </w:rPr>
      </w:pPr>
      <w:r>
        <w:rPr>
          <w:rFonts w:hint="eastAsia" w:ascii="仿宋" w:hAnsi="仿宋" w:eastAsia="仿宋" w:cs="仿宋"/>
          <w:color w:val="auto"/>
          <w:sz w:val="28"/>
          <w:szCs w:val="28"/>
          <w:highlight w:val="none"/>
          <w:lang w:val="en-US" w:eastAsia="zh-CN"/>
        </w:rPr>
        <w:t>4.平台统一技术服务电话为：400-998-0000，服务QQ:4008503300,服务时间:周一至周日8:00-17:30（北京时间）。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本项目采用远程不见面交易的模式，磋商当日，供应商无需到现场参加磋商会议，应在响应性文件提交截止时间前，登录“不见面开标大厅系统”，在线准时参加磋商活动，在规定时间内进行文件解密。各潜在供应商因加密电子响应性文件未能成功上传，其投标将被拒绝。供应商需在响应文件提交截止时间后 30分钟内完成解密，否则造成的一切后果由供应商自行负责。除电子响应性文件外，磋商时不再接受任何纸质文件、资料等</w:t>
      </w:r>
      <w:r>
        <w:rPr>
          <w:rFonts w:hint="eastAsia" w:ascii="仿宋" w:hAnsi="仿宋" w:eastAsia="仿宋" w:cs="仿宋"/>
          <w:color w:val="auto"/>
          <w:sz w:val="28"/>
          <w:szCs w:val="28"/>
          <w:highlight w:val="none"/>
        </w:rPr>
        <w:t>。</w:t>
      </w:r>
    </w:p>
    <w:p>
      <w:pPr>
        <w:numPr>
          <w:ilvl w:val="0"/>
          <w:numId w:val="0"/>
        </w:numPr>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rPr>
        <w:t>凡对本次磋商提出询问，请按以下方式联系。</w:t>
      </w:r>
    </w:p>
    <w:p>
      <w:pPr>
        <w:widowControl/>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采购人信息</w:t>
      </w:r>
    </w:p>
    <w:p>
      <w:pPr>
        <w:adjustRightInd w:val="0"/>
        <w:spacing w:line="560" w:lineRule="exact"/>
        <w:ind w:firstLine="560" w:firstLineChars="200"/>
        <w:textAlignment w:val="baseline"/>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名称：焦作市体育局</w:t>
      </w:r>
      <w:r>
        <w:rPr>
          <w:rFonts w:hint="eastAsia" w:ascii="仿宋" w:hAnsi="仿宋" w:eastAsia="仿宋" w:cs="仿宋"/>
          <w:color w:val="auto"/>
          <w:sz w:val="28"/>
          <w:szCs w:val="28"/>
          <w:highlight w:val="none"/>
          <w:lang w:val="en-US" w:eastAsia="zh-CN"/>
        </w:rPr>
        <w:t xml:space="preserve"> </w:t>
      </w:r>
    </w:p>
    <w:p>
      <w:pPr>
        <w:adjustRightInd w:val="0"/>
        <w:spacing w:line="5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址：焦作市丰收路东路168号</w:t>
      </w:r>
      <w:r>
        <w:rPr>
          <w:rFonts w:hint="eastAsia" w:ascii="仿宋" w:hAnsi="仿宋" w:eastAsia="仿宋" w:cs="仿宋"/>
          <w:color w:val="auto"/>
          <w:sz w:val="28"/>
          <w:szCs w:val="28"/>
          <w:highlight w:val="none"/>
          <w:lang w:val="en-US" w:eastAsia="zh-CN"/>
        </w:rPr>
        <w:t xml:space="preserve"> </w:t>
      </w:r>
    </w:p>
    <w:p>
      <w:pPr>
        <w:adjustRightInd w:val="0"/>
        <w:spacing w:line="560" w:lineRule="exact"/>
        <w:ind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李女士</w:t>
      </w:r>
    </w:p>
    <w:p>
      <w:pPr>
        <w:adjustRightInd w:val="0"/>
        <w:spacing w:line="560" w:lineRule="exact"/>
        <w:ind w:firstLine="560" w:firstLineChars="200"/>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0391-3936301</w:t>
      </w:r>
    </w:p>
    <w:p>
      <w:pPr>
        <w:widowControl/>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采购代理机构信息</w:t>
      </w:r>
    </w:p>
    <w:p>
      <w:pPr>
        <w:adjustRightInd w:val="0"/>
        <w:spacing w:line="560" w:lineRule="exact"/>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rPr>
        <w:t>名称：焦作市公共资源项目服务有限责任公司</w:t>
      </w:r>
    </w:p>
    <w:p>
      <w:pPr>
        <w:spacing w:line="526"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地址：焦作市人民路889号阳光大厦B座 </w:t>
      </w:r>
    </w:p>
    <w:p>
      <w:pPr>
        <w:spacing w:line="526"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宋先生</w:t>
      </w:r>
    </w:p>
    <w:p>
      <w:pPr>
        <w:spacing w:line="526"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联系方式：0391-</w:t>
      </w:r>
      <w:r>
        <w:rPr>
          <w:rFonts w:hint="eastAsia" w:ascii="仿宋" w:hAnsi="仿宋" w:eastAsia="仿宋" w:cs="仿宋"/>
          <w:color w:val="auto"/>
          <w:sz w:val="28"/>
          <w:szCs w:val="28"/>
          <w:lang w:val="en-US" w:eastAsia="zh-CN"/>
        </w:rPr>
        <w:t>3568387</w:t>
      </w:r>
    </w:p>
    <w:p>
      <w:pPr>
        <w:widowControl/>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项目联系方式</w:t>
      </w:r>
    </w:p>
    <w:p>
      <w:pPr>
        <w:adjustRightInd w:val="0"/>
        <w:spacing w:line="560" w:lineRule="exact"/>
        <w:ind w:firstLine="560" w:firstLineChars="200"/>
        <w:jc w:val="lef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项目联系人：</w:t>
      </w:r>
      <w:r>
        <w:rPr>
          <w:rFonts w:hint="eastAsia" w:ascii="仿宋" w:hAnsi="仿宋" w:eastAsia="仿宋" w:cs="仿宋"/>
          <w:color w:val="auto"/>
          <w:sz w:val="28"/>
          <w:szCs w:val="28"/>
          <w:highlight w:val="none"/>
          <w:lang w:val="en-US" w:eastAsia="zh-CN"/>
        </w:rPr>
        <w:t>李女士</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宋先生</w:t>
      </w:r>
    </w:p>
    <w:p>
      <w:pPr>
        <w:ind w:firstLine="560" w:firstLineChars="200"/>
        <w:rPr>
          <w:rFonts w:hint="default" w:ascii="仿宋" w:hAnsi="仿宋" w:eastAsia="仿宋" w:cs="仿宋"/>
          <w:color w:val="auto"/>
          <w:sz w:val="28"/>
          <w:szCs w:val="28"/>
          <w:lang w:val="en-US" w:eastAsia="zh-CN"/>
        </w:rPr>
      </w:pPr>
      <w:r>
        <w:rPr>
          <w:rFonts w:hint="eastAsia" w:ascii="仿宋_GB2312" w:hAnsi="仿宋_GB2312" w:eastAsia="仿宋_GB2312" w:cs="仿宋_GB2312"/>
          <w:color w:val="auto"/>
          <w:sz w:val="28"/>
          <w:szCs w:val="28"/>
          <w:highlight w:val="none"/>
        </w:rPr>
        <w:t>电</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话：</w:t>
      </w:r>
      <w:r>
        <w:rPr>
          <w:rFonts w:hint="eastAsia" w:ascii="仿宋" w:hAnsi="仿宋" w:eastAsia="仿宋" w:cs="仿宋"/>
          <w:color w:val="auto"/>
          <w:sz w:val="28"/>
          <w:szCs w:val="28"/>
          <w:highlight w:val="none"/>
          <w:lang w:val="en-US" w:eastAsia="zh-CN"/>
        </w:rPr>
        <w:t>0391-3936301</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eastAsia="仿宋_GB2312"/>
          <w:color w:val="auto"/>
          <w:sz w:val="28"/>
          <w:szCs w:val="28"/>
        </w:rPr>
        <w:t>0391-3568</w:t>
      </w:r>
      <w:r>
        <w:rPr>
          <w:rFonts w:hint="eastAsia" w:ascii="仿宋_GB2312" w:eastAsia="仿宋_GB2312"/>
          <w:color w:val="auto"/>
          <w:sz w:val="28"/>
          <w:szCs w:val="28"/>
          <w:lang w:val="en-US" w:eastAsia="zh-CN"/>
        </w:rPr>
        <w:t>387</w:t>
      </w:r>
    </w:p>
    <w:p>
      <w:pPr>
        <w:spacing w:line="560" w:lineRule="exact"/>
        <w:ind w:left="420" w:leftChars="200"/>
        <w:jc w:val="right"/>
        <w:rPr>
          <w:rFonts w:hint="eastAsia" w:ascii="仿宋" w:hAnsi="仿宋" w:eastAsia="仿宋" w:cs="仿宋"/>
          <w:color w:val="auto"/>
          <w:sz w:val="28"/>
          <w:szCs w:val="28"/>
        </w:rPr>
      </w:pPr>
    </w:p>
    <w:p>
      <w:pPr>
        <w:spacing w:line="560" w:lineRule="exact"/>
        <w:ind w:left="420" w:leftChars="20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发布人：焦作市公共资源项目服务有限责任公司</w:t>
      </w:r>
    </w:p>
    <w:p>
      <w:pPr>
        <w:spacing w:line="560" w:lineRule="exact"/>
        <w:ind w:left="420" w:leftChars="20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发布时间：202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日</w:t>
      </w:r>
    </w:p>
    <w:p>
      <w:pPr>
        <w:ind w:firstLine="2409" w:firstLineChars="800"/>
        <w:rPr>
          <w:rFonts w:hint="eastAsia"/>
          <w:b/>
          <w:color w:val="auto"/>
          <w:sz w:val="30"/>
          <w:szCs w:val="30"/>
          <w:highlight w:val="none"/>
        </w:rPr>
      </w:pPr>
    </w:p>
    <w:p>
      <w:pPr>
        <w:rPr>
          <w:rFonts w:hint="eastAsia"/>
          <w:b/>
          <w:color w:val="auto"/>
          <w:sz w:val="30"/>
          <w:szCs w:val="30"/>
          <w:highlight w:val="none"/>
        </w:rPr>
      </w:pPr>
    </w:p>
    <w:p>
      <w:pPr>
        <w:jc w:val="center"/>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第二章</w:t>
      </w:r>
      <w:r>
        <w:rPr>
          <w:b/>
          <w:color w:val="auto"/>
          <w:sz w:val="30"/>
          <w:szCs w:val="30"/>
          <w:highlight w:val="none"/>
        </w:rPr>
        <w:t xml:space="preserve">    </w:t>
      </w:r>
      <w:r>
        <w:rPr>
          <w:rFonts w:hint="eastAsia"/>
          <w:b/>
          <w:color w:val="auto"/>
          <w:sz w:val="30"/>
          <w:szCs w:val="30"/>
          <w:highlight w:val="none"/>
        </w:rPr>
        <w:t>供应商须知</w:t>
      </w:r>
    </w:p>
    <w:tbl>
      <w:tblPr>
        <w:tblStyle w:val="28"/>
        <w:tblW w:w="878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0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786" w:type="dxa"/>
            <w:gridSpan w:val="3"/>
            <w:tcBorders>
              <w:top w:val="double" w:color="auto" w:sz="4" w:space="0"/>
              <w:left w:val="double" w:color="auto" w:sz="4" w:space="0"/>
              <w:bottom w:val="single" w:color="auto" w:sz="4" w:space="0"/>
              <w:right w:val="doub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doub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w:t>
            </w:r>
          </w:p>
        </w:tc>
        <w:tc>
          <w:tcPr>
            <w:tcW w:w="6056" w:type="dxa"/>
            <w:tcBorders>
              <w:top w:val="single" w:color="auto" w:sz="4" w:space="0"/>
              <w:left w:val="single" w:color="auto" w:sz="4" w:space="0"/>
              <w:bottom w:val="single" w:color="auto" w:sz="4" w:space="0"/>
              <w:right w:val="double" w:color="auto" w:sz="4" w:space="0"/>
            </w:tcBorders>
            <w:vAlign w:val="center"/>
          </w:tcPr>
          <w:p>
            <w:pPr>
              <w:spacing w:before="156" w:beforeLines="50"/>
              <w:ind w:firstLine="2100" w:firstLineChars="1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ind w:left="-8" w:leftChars="-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项目名称：2022年“奔跑吧·少年”系列赛事活动服务项目</w:t>
            </w:r>
          </w:p>
          <w:p>
            <w:pPr>
              <w:numPr>
                <w:ilvl w:val="0"/>
                <w:numId w:val="4"/>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资金来源：</w:t>
            </w:r>
            <w:r>
              <w:rPr>
                <w:rFonts w:hint="eastAsia"/>
                <w:color w:val="auto"/>
                <w:lang w:eastAsia="zh-CN"/>
              </w:rPr>
              <w:t>体彩公益金</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3）采购内容：组织开展焦作市2022年“奔跑吧·少年”系列赛事活动服务。（详见磋商文件第三部分）</w:t>
            </w:r>
          </w:p>
          <w:p>
            <w:pPr>
              <w:numPr>
                <w:ilvl w:val="0"/>
                <w:numId w:val="0"/>
              </w:num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4）合同履行期限：系列赛事活动服务结束</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w:t>
            </w:r>
          </w:p>
          <w:p>
            <w:pPr>
              <w:numPr>
                <w:ilvl w:val="0"/>
                <w:numId w:val="0"/>
              </w:num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5）采购人：</w:t>
            </w:r>
            <w:r>
              <w:rPr>
                <w:rFonts w:hint="eastAsia" w:ascii="宋体" w:hAnsi="宋体" w:cs="宋体"/>
                <w:color w:val="auto"/>
                <w:sz w:val="21"/>
                <w:szCs w:val="21"/>
                <w:highlight w:val="none"/>
                <w:lang w:val="en-US" w:eastAsia="zh-CN"/>
              </w:rPr>
              <w:t>焦作市体育局。</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6）采购代理机构：焦作市公共资源项目服务有限责任公司。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ind w:left="-4" w:leftChars="-4" w:hanging="4" w:hangingChars="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对供应商的资格要求</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numPr>
                <w:ilvl w:val="0"/>
                <w:numId w:val="0"/>
              </w:num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2、落实政府采购政策满足的资格要求： </w:t>
            </w:r>
            <w:r>
              <w:rPr>
                <w:rFonts w:hint="eastAsia" w:ascii="宋体" w:hAnsi="宋体" w:cs="宋体"/>
                <w:color w:val="auto"/>
                <w:sz w:val="21"/>
                <w:szCs w:val="21"/>
                <w:highlight w:val="none"/>
                <w:lang w:val="en-US" w:eastAsia="zh-CN"/>
              </w:rPr>
              <w:t>/</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3.1供应商行贿犯罪档案记录（磋商会当日中国裁判文书网的信息）；</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3.2按照《财政部关于在政府采购活动中查询及使用信用记录有关问题</w:t>
            </w:r>
            <w:r>
              <w:rPr>
                <w:rFonts w:hint="eastAsia" w:ascii="宋体" w:hAnsi="宋体" w:eastAsia="宋体" w:cs="宋体"/>
                <w:color w:val="auto"/>
                <w:sz w:val="21"/>
                <w:szCs w:val="21"/>
                <w:highlight w:val="none"/>
              </w:rPr>
              <w:t>的通知》（财库〔2016〕125号）的要求，根据磋商会当日“信用中国”网站（www.creditchina.gov.cn）、中国政府采购网（www.ccgp.gov.cn）的信息，对列入失信被执行人、重大税收违法案件当事人名单、政府采购严重违法失信行为记录名单的供应商，拒绝参与政府采购活动，同时对</w:t>
            </w:r>
            <w:r>
              <w:rPr>
                <w:rFonts w:hint="eastAsia" w:ascii="宋体" w:hAnsi="宋体" w:eastAsia="宋体" w:cs="宋体"/>
                <w:color w:val="auto"/>
                <w:sz w:val="21"/>
                <w:szCs w:val="21"/>
                <w:highlight w:val="none"/>
                <w:lang w:val="en-US" w:eastAsia="zh-CN"/>
              </w:rPr>
              <w:t>信用信息查询记录和证据进行打印存档。</w:t>
            </w:r>
          </w:p>
          <w:p>
            <w:pPr>
              <w:numPr>
                <w:ilvl w:val="0"/>
                <w:numId w:val="0"/>
              </w:num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备注：以上第3.1条和第3.2条由采购代理机构提供查询结果。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报价费用</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无论报价和磋商的过程和结果如何，供应商自行承担所有与参加报名及磋商有关活动的全部费用。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响应文件语言</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报价货币</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报价范围及说明</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所有磋商报价均以人民币元为计算单位。供应商所报总价应包括其履行本项目合同（如果成交）所需的所有费用。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响应文件递交截止期后60日内有效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8640"/>
              </w:tabs>
              <w:spacing w:before="156" w:beforeLines="50"/>
              <w:ind w:left="-2" w:left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响应文件的组成</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供应商应按本磋商文件规定的格式，填写并提供相关文件或资料，本磋商文件第三部分要求的文件和资料也须一并提供。供应商还可根据自己的理解，提供其他必要的技术响应资料及附件。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8640"/>
              </w:tabs>
              <w:spacing w:before="156" w:beforeLines="50"/>
              <w:ind w:left="-2" w:leftChars="-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响应文件封面要求</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列明项目名称、本磋商文件编号、供应商名称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响应文件份数要求</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上传</w:t>
            </w:r>
            <w:r>
              <w:rPr>
                <w:rFonts w:hint="eastAsia" w:ascii="宋体" w:hAnsi="宋体" w:eastAsia="宋体" w:cs="宋体"/>
                <w:color w:val="auto"/>
                <w:sz w:val="21"/>
                <w:szCs w:val="21"/>
                <w:highlight w:val="none"/>
                <w:lang w:val="en-US" w:eastAsia="zh-CN"/>
              </w:rPr>
              <w:t>加密的电子响应</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lang w:val="en-US" w:eastAsia="zh-CN"/>
              </w:rPr>
              <w:t>文件一份；</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在领取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通知书时，须提供纸质</w:t>
            </w:r>
            <w:r>
              <w:rPr>
                <w:rFonts w:hint="eastAsia" w:ascii="宋体" w:hAnsi="宋体" w:cs="宋体"/>
                <w:color w:val="auto"/>
                <w:sz w:val="21"/>
                <w:szCs w:val="21"/>
                <w:highlight w:val="none"/>
                <w:lang w:val="en-US" w:eastAsia="zh-CN"/>
              </w:rPr>
              <w:t>响应性文件</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bCs/>
                <w:color w:val="auto"/>
                <w:sz w:val="21"/>
                <w:szCs w:val="21"/>
                <w:highlight w:val="none"/>
                <w:lang w:val="en-US" w:eastAsia="zh-CN"/>
              </w:rPr>
              <w:t>三份（一正二副）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响应文件密封和</w:t>
            </w:r>
            <w:r>
              <w:rPr>
                <w:rFonts w:hint="eastAsia" w:ascii="宋体" w:hAnsi="宋体" w:cs="宋体"/>
                <w:color w:val="auto"/>
                <w:sz w:val="21"/>
                <w:szCs w:val="21"/>
                <w:highlight w:val="none"/>
                <w:lang w:val="en-US" w:eastAsia="zh-CN"/>
              </w:rPr>
              <w:t>提交</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本项目为不见面开标，加密电子</w:t>
            </w:r>
            <w:r>
              <w:rPr>
                <w:rFonts w:hint="eastAsia" w:ascii="宋体" w:hAnsi="宋体" w:cs="宋体"/>
                <w:color w:val="auto"/>
                <w:sz w:val="21"/>
                <w:szCs w:val="21"/>
                <w:highlight w:val="none"/>
                <w:lang w:val="en-US" w:eastAsia="zh-CN"/>
              </w:rPr>
              <w:t>响应性</w:t>
            </w:r>
            <w:r>
              <w:rPr>
                <w:rFonts w:hint="eastAsia" w:ascii="宋体" w:hAnsi="宋体" w:eastAsia="宋体" w:cs="宋体"/>
                <w:color w:val="auto"/>
                <w:sz w:val="21"/>
                <w:szCs w:val="21"/>
                <w:highlight w:val="none"/>
                <w:lang w:val="en-US" w:eastAsia="zh-CN"/>
              </w:rPr>
              <w:t>文件须在</w:t>
            </w:r>
            <w:r>
              <w:rPr>
                <w:rFonts w:hint="eastAsia" w:ascii="宋体" w:hAnsi="宋体" w:cs="宋体"/>
                <w:color w:val="auto"/>
                <w:sz w:val="21"/>
                <w:szCs w:val="21"/>
                <w:highlight w:val="none"/>
                <w:lang w:val="en-US" w:eastAsia="zh-CN"/>
              </w:rPr>
              <w:t>响应性文件提交</w:t>
            </w:r>
            <w:r>
              <w:rPr>
                <w:rFonts w:hint="eastAsia" w:ascii="宋体" w:hAnsi="宋体" w:eastAsia="宋体" w:cs="宋体"/>
                <w:color w:val="auto"/>
                <w:sz w:val="21"/>
                <w:szCs w:val="21"/>
                <w:highlight w:val="none"/>
                <w:lang w:val="en-US" w:eastAsia="zh-CN"/>
              </w:rPr>
              <w:t>截止时间前通过“焦作市公共资源交易中心（http://www.jzggzy.cn/）”网站-交易平台加密上传。除电子</w:t>
            </w:r>
            <w:r>
              <w:rPr>
                <w:rFonts w:hint="eastAsia" w:ascii="宋体" w:hAnsi="宋体" w:cs="宋体"/>
                <w:color w:val="auto"/>
                <w:sz w:val="21"/>
                <w:szCs w:val="21"/>
                <w:highlight w:val="none"/>
                <w:lang w:val="en-US" w:eastAsia="zh-CN"/>
              </w:rPr>
              <w:t>响应性</w:t>
            </w:r>
            <w:r>
              <w:rPr>
                <w:rFonts w:hint="eastAsia" w:ascii="宋体" w:hAnsi="宋体" w:eastAsia="宋体" w:cs="宋体"/>
                <w:color w:val="auto"/>
                <w:sz w:val="21"/>
                <w:szCs w:val="21"/>
                <w:highlight w:val="none"/>
                <w:lang w:val="en-US" w:eastAsia="zh-CN"/>
              </w:rPr>
              <w:t>文件外，磋商时不再接受任何纸质文件、资料等。</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未在</w:t>
            </w:r>
            <w:r>
              <w:rPr>
                <w:rFonts w:hint="eastAsia" w:ascii="宋体" w:hAnsi="宋体" w:cs="宋体"/>
                <w:color w:val="auto"/>
                <w:sz w:val="21"/>
                <w:szCs w:val="21"/>
                <w:highlight w:val="none"/>
                <w:lang w:val="en-US" w:eastAsia="zh-CN"/>
              </w:rPr>
              <w:t>响应性文件提交</w:t>
            </w:r>
            <w:r>
              <w:rPr>
                <w:rFonts w:hint="eastAsia" w:ascii="宋体" w:hAnsi="宋体" w:eastAsia="宋体" w:cs="宋体"/>
                <w:color w:val="auto"/>
                <w:sz w:val="21"/>
                <w:szCs w:val="21"/>
                <w:highlight w:val="none"/>
                <w:lang w:val="en-US" w:eastAsia="zh-CN"/>
              </w:rPr>
              <w:t>截止时间前完成上传加密的电子</w:t>
            </w:r>
            <w:r>
              <w:rPr>
                <w:rFonts w:hint="eastAsia" w:ascii="宋体" w:hAnsi="宋体" w:cs="宋体"/>
                <w:color w:val="auto"/>
                <w:sz w:val="21"/>
                <w:szCs w:val="21"/>
                <w:highlight w:val="none"/>
                <w:lang w:val="en-US" w:eastAsia="zh-CN"/>
              </w:rPr>
              <w:t>响应性</w:t>
            </w:r>
            <w:r>
              <w:rPr>
                <w:rFonts w:hint="eastAsia" w:ascii="宋体" w:hAnsi="宋体" w:eastAsia="宋体" w:cs="宋体"/>
                <w:color w:val="auto"/>
                <w:sz w:val="21"/>
                <w:szCs w:val="21"/>
                <w:highlight w:val="none"/>
                <w:lang w:val="en-US" w:eastAsia="zh-CN"/>
              </w:rPr>
              <w:t>文件视为逾期送达。逾期上传或未按规定方式上传加密的电子</w:t>
            </w:r>
            <w:r>
              <w:rPr>
                <w:rFonts w:hint="eastAsia" w:ascii="宋体" w:hAnsi="宋体" w:cs="宋体"/>
                <w:color w:val="auto"/>
                <w:sz w:val="21"/>
                <w:szCs w:val="21"/>
                <w:highlight w:val="none"/>
                <w:lang w:val="en-US" w:eastAsia="zh-CN"/>
              </w:rPr>
              <w:t>响应性</w:t>
            </w:r>
            <w:r>
              <w:rPr>
                <w:rFonts w:hint="eastAsia" w:ascii="宋体" w:hAnsi="宋体" w:eastAsia="宋体" w:cs="宋体"/>
                <w:color w:val="auto"/>
                <w:sz w:val="21"/>
                <w:szCs w:val="21"/>
                <w:highlight w:val="none"/>
                <w:lang w:val="en-US" w:eastAsia="zh-CN"/>
              </w:rPr>
              <w:t>文件，投标无效。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竞争性磋商文件的澄清</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何要求对竞争性磋商文件进行澄清的供应商，均应以书面形式或传真通知采购人或采购代理机构，采购人如认为必要，将以书面形式予以答复。澄清或修改的内容可能影响响应文件编制的，采购人、采购代理机构应当在提交响应文件截止时间至少5日前，以书面形式（或以更正、变更公告的方式）通知所有获取磋商文件的供应商；不足5日，顺延提交首次相应文件截止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2022年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 xml:space="preserve">分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响应文件递交地点</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加密电子响应性文件须在响应性文件提交截止时间前通过“焦作市公共资源交易中心（http://www.jzggzy.cn/）”网站-交易平台加密上传。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2022年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 xml:space="preserve">分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磋商程序和内容</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tcBorders>
              <w:top w:val="single" w:color="auto" w:sz="4" w:space="0"/>
              <w:left w:val="double" w:color="auto" w:sz="4" w:space="0"/>
              <w:bottom w:val="sing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w:t>
            </w:r>
          </w:p>
        </w:tc>
        <w:tc>
          <w:tcPr>
            <w:tcW w:w="6056"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采购人根据磋商小组的推荐意见，按照评审得分由高到底的顺序确定成交供应商。采购代理机构向成交供应商发出成交通知书。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tcBorders>
              <w:top w:val="single" w:color="auto" w:sz="4" w:space="0"/>
              <w:left w:val="double" w:color="auto" w:sz="4" w:space="0"/>
              <w:bottom w:val="double" w:color="auto" w:sz="4" w:space="0"/>
              <w:right w:val="single" w:color="auto" w:sz="4" w:space="0"/>
            </w:tcBorders>
            <w:vAlign w:val="center"/>
          </w:tcPr>
          <w:p>
            <w:pPr>
              <w:numPr>
                <w:ilvl w:val="0"/>
                <w:numId w:val="3"/>
              </w:numPr>
              <w:spacing w:before="156" w:beforeLines="50"/>
              <w:jc w:val="center"/>
              <w:rPr>
                <w:rFonts w:hint="eastAsia" w:ascii="宋体" w:hAnsi="宋体" w:eastAsia="宋体" w:cs="宋体"/>
                <w:color w:val="auto"/>
                <w:sz w:val="21"/>
                <w:szCs w:val="21"/>
                <w:highlight w:val="none"/>
              </w:rPr>
            </w:pPr>
          </w:p>
        </w:tc>
        <w:tc>
          <w:tcPr>
            <w:tcW w:w="1995" w:type="dxa"/>
            <w:tcBorders>
              <w:top w:val="single" w:color="auto" w:sz="4" w:space="0"/>
              <w:left w:val="single" w:color="auto" w:sz="4" w:space="0"/>
              <w:bottom w:val="double" w:color="auto" w:sz="4" w:space="0"/>
              <w:right w:val="single" w:color="auto" w:sz="4" w:space="0"/>
            </w:tcBorders>
            <w:vAlign w:val="center"/>
          </w:tcPr>
          <w:p>
            <w:pPr>
              <w:spacing w:before="156" w:beforeLines="50"/>
              <w:ind w:firstLine="12" w:firstLineChars="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p>
        </w:tc>
        <w:tc>
          <w:tcPr>
            <w:tcW w:w="6056" w:type="dxa"/>
            <w:tcBorders>
              <w:top w:val="single" w:color="auto" w:sz="4" w:space="0"/>
              <w:left w:val="single" w:color="auto" w:sz="4" w:space="0"/>
              <w:bottom w:val="double" w:color="auto" w:sz="4" w:space="0"/>
              <w:right w:val="double" w:color="auto" w:sz="4" w:space="0"/>
            </w:tcBorders>
            <w:vAlign w:val="center"/>
          </w:tcPr>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1）接到成交通知书</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天内，成交供应商应与采购人签订采购合同。</w:t>
            </w:r>
          </w:p>
          <w:p>
            <w:pPr>
              <w:numPr>
                <w:ilvl w:val="0"/>
                <w:numId w:val="0"/>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2）本磋商文件、响应文件及磋商、评审过程中有关澄清、承诺文件的内容，将作为签订合同的主要内容。</w:t>
            </w:r>
          </w:p>
        </w:tc>
      </w:tr>
    </w:tbl>
    <w:p>
      <w:pPr>
        <w:spacing w:line="720" w:lineRule="auto"/>
        <w:rPr>
          <w:rFonts w:ascii="宋体" w:hAnsi="宋体" w:cs="宋体"/>
          <w:b/>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 xml:space="preserve">                    </w:t>
      </w:r>
      <w:r>
        <w:rPr>
          <w:rFonts w:hint="eastAsia" w:ascii="宋体" w:hAnsi="宋体" w:cs="宋体"/>
          <w:b/>
          <w:color w:val="auto"/>
          <w:sz w:val="28"/>
          <w:szCs w:val="28"/>
          <w:highlight w:val="none"/>
        </w:rPr>
        <w:t xml:space="preserve"> 一、总则</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1．适用范围</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1.1</w:t>
      </w:r>
      <w:r>
        <w:rPr>
          <w:rFonts w:hint="eastAsia" w:ascii="仿宋_GB2312" w:hAnsi="仿宋_GB2312" w:eastAsia="仿宋_GB2312" w:cs="仿宋_GB2312"/>
          <w:b/>
          <w:bCs/>
          <w:color w:val="auto"/>
          <w:sz w:val="28"/>
          <w:szCs w:val="28"/>
          <w:highlight w:val="none"/>
        </w:rPr>
        <w:t>本竞争性</w:t>
      </w:r>
      <w:r>
        <w:rPr>
          <w:rFonts w:hint="eastAsia" w:ascii="仿宋_GB2312" w:hAnsi="仿宋_GB2312" w:eastAsia="仿宋_GB2312" w:cs="仿宋_GB2312"/>
          <w:color w:val="auto"/>
          <w:sz w:val="28"/>
          <w:szCs w:val="28"/>
          <w:highlight w:val="none"/>
        </w:rPr>
        <w:t>磋商文件仅适用于本次竞争性磋商邀请函中所述</w:t>
      </w:r>
      <w:r>
        <w:rPr>
          <w:rFonts w:hint="eastAsia" w:ascii="仿宋_GB2312" w:hAnsi="仿宋_GB2312" w:eastAsia="仿宋_GB2312" w:cs="仿宋_GB2312"/>
          <w:bCs/>
          <w:color w:val="auto"/>
          <w:sz w:val="28"/>
          <w:szCs w:val="28"/>
          <w:highlight w:val="none"/>
        </w:rPr>
        <w:t>项目。</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2．定义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2.1“采购人”：系指</w:t>
      </w:r>
      <w:r>
        <w:rPr>
          <w:rFonts w:hint="eastAsia" w:ascii="仿宋_GB2312" w:hAnsi="仿宋_GB2312" w:eastAsia="仿宋_GB2312" w:cs="仿宋_GB2312"/>
          <w:color w:val="auto"/>
          <w:sz w:val="28"/>
          <w:szCs w:val="28"/>
          <w:highlight w:val="none"/>
          <w:lang w:val="en-US" w:eastAsia="zh-CN"/>
        </w:rPr>
        <w:t>焦作市体育局</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2.2“采购代理机构”：系指焦作市公共资源项目服务有限责任公司。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2.3“供应商”系指按竞争性磋商文件规定取得竞争性磋商文件并参加竞争性磋商活动的法人、其他组织或者自然人。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2.4“供应商代表”系指代表供应商参加本次竞争性磋商活动的供应商的法定代表人或其委托代理人。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2.5“</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”系指磋商文件中所述所有</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及</w:t>
      </w:r>
      <w:r>
        <w:rPr>
          <w:rFonts w:hint="eastAsia" w:ascii="仿宋_GB2312" w:eastAsia="仿宋_GB2312"/>
          <w:color w:val="auto"/>
          <w:sz w:val="28"/>
          <w:szCs w:val="28"/>
          <w:highlight w:val="none"/>
        </w:rPr>
        <w:t>其他相关义务</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2.7“重大违法记录”系指供应商因违法经营受到刑事处罚或者责令停产停业、吊销许可证或者执照、较大数额罚款等行政处罚。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28"/>
          <w:szCs w:val="28"/>
          <w:highlight w:val="none"/>
        </w:rPr>
      </w:pPr>
      <w:r>
        <w:rPr>
          <w:rFonts w:hint="eastAsia" w:eastAsia="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2.8</w:t>
      </w:r>
      <w:r>
        <w:rPr>
          <w:rFonts w:hint="eastAsia" w:ascii="仿宋_GB2312" w:eastAsia="仿宋_GB2312"/>
          <w:color w:val="auto"/>
          <w:sz w:val="28"/>
          <w:szCs w:val="28"/>
          <w:highlight w:val="none"/>
        </w:rPr>
        <w:t>“不具备良好的商业信誉”是指：</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（1）有重大违法记录的（满三年的除外）；</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（2）被各级财政部门列入政府采购严重违法失信行为信息记录的（期限已满的除外）；</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（3）被各级政府采购监督管理部门禁止在一定期限内参加政府采购活动等处罚的（期限已满的除外）；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被各级法院列入失信名单的（已依法解除的除外）；</w:t>
      </w:r>
    </w:p>
    <w:p>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（5）不符合《财政部关于在政府采购活动中查询及使用信用记录有关问题的通知》（财库2016〕125号）相关规定的；</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（6）法律法规规定的其他情形。</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3.采购预算</w:t>
      </w:r>
    </w:p>
    <w:p>
      <w:pPr>
        <w:keepNext w:val="0"/>
        <w:keepLines w:val="0"/>
        <w:pageBreakBefore w:val="0"/>
        <w:widowControl/>
        <w:numPr>
          <w:ilvl w:val="0"/>
          <w:numId w:val="0"/>
        </w:numPr>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 本次采购预算为</w:t>
      </w:r>
      <w:r>
        <w:rPr>
          <w:rFonts w:hint="eastAsia" w:ascii="仿宋" w:hAnsi="仿宋" w:eastAsia="仿宋" w:cs="仿宋"/>
          <w:color w:val="auto"/>
          <w:sz w:val="28"/>
          <w:szCs w:val="28"/>
          <w:highlight w:val="none"/>
          <w:lang w:val="en-US" w:eastAsia="zh-CN"/>
        </w:rPr>
        <w:t>人民币490,000.00</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lang w:val="en-US" w:eastAsia="zh-CN"/>
        </w:rPr>
        <w:t>肆拾玖万元整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4.合格的供应商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 符合《中华人民共和国政府采购法》第二十二条规定的条件：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4.1.1具有独立承担民事责任的能力；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4.1.2具有良好的商业信誉和健全的财务会计制度；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4.1.3具有履行合同所必需的设备和专业技术能力；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4.1.4有依法缴纳税收和社会保障资金的良好记录；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4.1.5参加采购活动前三年内，在经营活动中没有重大违法记录；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4.1.6法律、行政法规规定的其他条件。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4.2符合本竞争性磋商文件规定的供应商资格要求及项目要求的其他条件，并按照要求提供相关证明材料。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4.3供应商应遵守国家法律、法规和采购代理机构有关竞争性磋商的规定。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本项目不接受联合体投标。</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5.竞争性磋商费用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5.1无论竞争性磋商结果如何，供应商均应自行承担所有与竞争性磋商活动有关的全部费用。无论磋商结果如何，采购人和采购代理机构均无向磋商对象解释其成交或未成交原因的义务。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5.2 采购代理服务费</w:t>
      </w:r>
      <w:r>
        <w:rPr>
          <w:rFonts w:hint="eastAsia" w:ascii="仿宋_GB2312" w:hAnsi="仿宋_GB2312" w:eastAsia="仿宋_GB2312" w:cs="仿宋_GB2312"/>
          <w:color w:val="auto"/>
          <w:sz w:val="28"/>
          <w:szCs w:val="28"/>
          <w:highlight w:val="none"/>
        </w:rPr>
        <w:t>：</w:t>
      </w:r>
      <w:r>
        <w:rPr>
          <w:rFonts w:hint="eastAsia" w:ascii="仿宋_GB2312" w:eastAsia="仿宋_GB2312"/>
          <w:color w:val="auto"/>
          <w:sz w:val="28"/>
          <w:szCs w:val="28"/>
        </w:rPr>
        <w:t>按照成交金额的千分之十五收取代理服务费</w:t>
      </w:r>
      <w:r>
        <w:rPr>
          <w:rFonts w:hint="eastAsia" w:ascii="仿宋_GB2312" w:eastAsia="仿宋_GB2312"/>
          <w:color w:val="auto"/>
          <w:sz w:val="28"/>
          <w:szCs w:val="28"/>
          <w:lang w:val="en-US" w:eastAsia="zh-CN"/>
        </w:rPr>
        <w:t>(不足2,000.00元的按2,000.00元收取)</w:t>
      </w:r>
      <w:r>
        <w:rPr>
          <w:rFonts w:hint="eastAsia" w:ascii="仿宋_GB2312" w:eastAsia="仿宋_GB2312"/>
          <w:color w:val="auto"/>
          <w:sz w:val="28"/>
          <w:szCs w:val="28"/>
        </w:rPr>
        <w:t>。成交供应商在领取成交通知书时须以刷卡或转账的方式向采购代理机构缴纳采购代理服务费。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账户名称：焦作市公共资源项目服务有限责任公司</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开户银行：中国建设银行股份有限公司焦作焦西支行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账号：4105 0164 6108 0000 0094。</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6.竞争性磋商文件的约束力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6.l 供应商一旦参加竞争性磋商会，即被认为接受了本竞争性磋商文件中的所有条款和规定。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6.3 本竞争性磋商文件由采购人负责解释。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二、竞争性磋商文件</w:t>
      </w:r>
    </w:p>
    <w:p>
      <w:pPr>
        <w:keepNext w:val="0"/>
        <w:keepLines w:val="0"/>
        <w:pageBreakBefore w:val="0"/>
        <w:tabs>
          <w:tab w:val="left" w:pos="632"/>
          <w:tab w:val="left" w:pos="790"/>
        </w:tabs>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7．竞争性磋商文件的组成</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 竞争性磋商</w:t>
      </w:r>
      <w:r>
        <w:rPr>
          <w:rFonts w:hint="eastAsia" w:ascii="仿宋_GB2312" w:hAnsi="仿宋_GB2312" w:eastAsia="仿宋_GB2312" w:cs="仿宋_GB2312"/>
          <w:color w:val="auto"/>
          <w:sz w:val="28"/>
          <w:szCs w:val="28"/>
          <w:highlight w:val="none"/>
          <w:lang w:val="zh-CN"/>
        </w:rPr>
        <w:t>文件是用以阐明的采购需求、采购程序和合同格式等的规范性文件。竞争性磋商文件主要由以下部分组成：</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（1）竞争性磋商邀请函；</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（2）供应商须知；</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（3）采购需求；</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（4）响应性文件内容及格式；</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（5）合同主要条款</w:t>
      </w:r>
      <w:r>
        <w:rPr>
          <w:rFonts w:hint="eastAsia" w:ascii="仿宋_GB2312" w:hAnsi="仿宋_GB2312" w:eastAsia="仿宋_GB2312" w:cs="仿宋_GB2312"/>
          <w:color w:val="auto"/>
          <w:sz w:val="28"/>
          <w:szCs w:val="28"/>
          <w:highlight w:val="none"/>
          <w:lang w:eastAsia="zh-CN"/>
        </w:rPr>
        <w:t>（参考）</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7.2 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7.3 供应商被视为充分熟悉本采购项目所在地的与履行合同有关的各种情况，包括自然环境、气候条件、劳动力及公用设施等，本竞争性磋商文件不再对上述情况进行描述。</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7.4 供应商必须详阅竞争性磋商文件的所有条款、文件及表格格式等。供应商若未按竞争性磋商文件的要求和规范编制、提交响应性文件，将有可能导致响应性文件被拒绝接受或被视为无效。</w:t>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8.竞争性磋商文件的澄清与修改</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仿宋_GB2312" w:hAnsi="仿宋" w:eastAsia="仿宋_GB2312" w:cs="仿宋"/>
          <w:color w:val="auto"/>
          <w:sz w:val="28"/>
          <w:szCs w:val="28"/>
          <w:highlight w:val="none"/>
          <w:lang w:val="zh-CN"/>
        </w:rPr>
      </w:pPr>
      <w:r>
        <w:rPr>
          <w:rFonts w:hint="eastAsia" w:ascii="仿宋_GB2312" w:hAnsi="仿宋" w:eastAsia="仿宋_GB2312" w:cs="仿宋"/>
          <w:color w:val="auto"/>
          <w:sz w:val="28"/>
          <w:szCs w:val="28"/>
          <w:highlight w:val="none"/>
          <w:lang w:val="zh-CN"/>
        </w:rPr>
        <w:t>8.1 采购代理机构可以对已发出的磋商文件进行必要的澄清或者修改，改变采购标的和资格条件除外。澄清或者修改的内容将在原公告发布媒体上发布澄清（变更）公告。澄清或者修改的内容为磋商文件的组成部分。</w:t>
      </w:r>
    </w:p>
    <w:p>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ascii="仿宋_GB2312" w:hAnsi="仿宋" w:eastAsia="仿宋_GB2312" w:cs="仿宋"/>
          <w:color w:val="auto"/>
          <w:sz w:val="28"/>
          <w:szCs w:val="28"/>
          <w:highlight w:val="none"/>
          <w:lang w:val="zh-CN"/>
        </w:rPr>
      </w:pPr>
      <w:r>
        <w:rPr>
          <w:rFonts w:hint="eastAsia" w:ascii="仿宋_GB2312" w:hAnsi="仿宋" w:eastAsia="仿宋_GB2312" w:cs="仿宋"/>
          <w:color w:val="auto"/>
          <w:sz w:val="28"/>
          <w:szCs w:val="28"/>
          <w:highlight w:val="none"/>
          <w:lang w:val="zh-CN"/>
        </w:rPr>
        <w:t>8.2 澄清或者修改的内容可能影响响应性文件编制的，采购代理机构将在首次递交响应性文件截止之日5日前，以书面形式（发布变更公告）通知所有获取磋商文件的潜在供应商；不足5日的，将顺延提交响应性文件的截止时间。</w:t>
      </w:r>
    </w:p>
    <w:p>
      <w:pPr>
        <w:keepNext w:val="0"/>
        <w:keepLines w:val="0"/>
        <w:pageBreakBefore w:val="0"/>
        <w:kinsoku/>
        <w:wordWrap/>
        <w:overflowPunct/>
        <w:topLinePunct w:val="0"/>
        <w:bidi w:val="0"/>
        <w:snapToGrid/>
        <w:spacing w:line="56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三、响应性文件的编制</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9.要求</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rPr>
        <w:t>9.1</w:t>
      </w:r>
      <w:r>
        <w:rPr>
          <w:rFonts w:hint="eastAsia" w:ascii="仿宋_GB2312" w:eastAsia="仿宋_GB2312"/>
          <w:color w:val="auto"/>
          <w:sz w:val="28"/>
          <w:szCs w:val="28"/>
          <w:highlight w:val="none"/>
        </w:rPr>
        <w:t>响应性文件应对磋商文件的要求作出实质性响应（包括供应商资格要求、技术要求、商务要求等）</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所提供的全部资料</w:t>
      </w:r>
      <w:r>
        <w:rPr>
          <w:rFonts w:hint="eastAsia" w:ascii="仿宋_GB2312" w:eastAsia="仿宋_GB2312"/>
          <w:color w:val="auto"/>
          <w:sz w:val="28"/>
          <w:szCs w:val="28"/>
          <w:highlight w:val="none"/>
          <w:lang w:val="en-US" w:eastAsia="zh-CN"/>
        </w:rPr>
        <w:t>具有</w:t>
      </w:r>
      <w:r>
        <w:rPr>
          <w:rFonts w:hint="eastAsia" w:ascii="仿宋_GB2312" w:eastAsia="仿宋_GB2312"/>
          <w:color w:val="auto"/>
          <w:sz w:val="28"/>
          <w:szCs w:val="28"/>
          <w:highlight w:val="none"/>
        </w:rPr>
        <w:t>真实性、合法性，否则其</w:t>
      </w:r>
      <w:r>
        <w:rPr>
          <w:rFonts w:hint="eastAsia" w:ascii="仿宋_GB2312" w:eastAsia="仿宋_GB2312"/>
          <w:color w:val="auto"/>
          <w:sz w:val="28"/>
          <w:szCs w:val="28"/>
          <w:highlight w:val="none"/>
          <w:lang w:val="en-US" w:eastAsia="zh-CN"/>
        </w:rPr>
        <w:t>响应性</w:t>
      </w:r>
      <w:r>
        <w:rPr>
          <w:rFonts w:hint="eastAsia" w:ascii="仿宋_GB2312" w:eastAsia="仿宋_GB2312"/>
          <w:color w:val="auto"/>
          <w:sz w:val="28"/>
          <w:szCs w:val="28"/>
          <w:highlight w:val="none"/>
        </w:rPr>
        <w:t>文件将作为无效处理。</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9.2 任何对竞争性磋商文件的忽略或误解不能作为响应性文件没有完全响应竞争性磋商文件的有效理由。</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eastAsia="仿宋_GB2312"/>
          <w:i/>
          <w:iCs/>
          <w:color w:val="auto"/>
          <w:sz w:val="28"/>
          <w:szCs w:val="28"/>
          <w:highlight w:val="none"/>
        </w:rPr>
      </w:pPr>
      <w:r>
        <w:rPr>
          <w:rFonts w:hint="eastAsia" w:ascii="仿宋_GB2312" w:eastAsia="仿宋_GB2312"/>
          <w:color w:val="auto"/>
          <w:sz w:val="28"/>
          <w:szCs w:val="28"/>
          <w:highlight w:val="none"/>
        </w:rPr>
        <w:t>9.3 供应商没有按照竞争性磋商文件要求提供全部资料，或者供应商没有对竞争性磋商文件在各方面都作出实质性响应是供应商的风险，并可能导致其响应性文件无效。</w:t>
      </w:r>
    </w:p>
    <w:p>
      <w:pPr>
        <w:keepNext w:val="0"/>
        <w:keepLines w:val="0"/>
        <w:pageBreakBefore w:val="0"/>
        <w:widowControl/>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10.响应性文件的语言及度量衡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10.1响应性文件以及供应商与采购机构之间的所有书面往来都应用简体中文书写。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10.2 供应商提供已印刷好的产品资料如产品样本、说明书等可以用其他语言，但在解释响应性文件时，以译文为准。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10.3 关于计量单位，竞争性磋商文件已有明确规定的，使用竞争性磋商文件规定的计量单位；竞争性磋商文件没有规定的，应采用中华人民共和国法定计量单位。</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10.4本竞争性磋商文件所表述的时间均为北京时间。 </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11.响应性文件的组成</w:t>
      </w:r>
    </w:p>
    <w:p>
      <w:pPr>
        <w:keepNext w:val="0"/>
        <w:keepLines w:val="0"/>
        <w:pageBreakBefore w:val="0"/>
        <w:widowControl/>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11.1响应性文件由</w:t>
      </w:r>
      <w:r>
        <w:rPr>
          <w:rFonts w:hint="eastAsia" w:ascii="仿宋_GB2312" w:hAnsi="仿宋_GB2312" w:eastAsia="仿宋_GB2312" w:cs="仿宋_GB2312"/>
          <w:bCs/>
          <w:color w:val="auto"/>
          <w:sz w:val="28"/>
          <w:szCs w:val="28"/>
          <w:highlight w:val="none"/>
          <w:u w:val="single"/>
        </w:rPr>
        <w:t>资格性证明材料</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rPr>
        <w:t>符合性证明材料</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rPr>
        <w:t>其他材料</w:t>
      </w:r>
      <w:r>
        <w:rPr>
          <w:rFonts w:hint="eastAsia" w:ascii="仿宋_GB2312" w:hAnsi="仿宋_GB2312" w:eastAsia="仿宋_GB2312" w:cs="仿宋_GB2312"/>
          <w:color w:val="auto"/>
          <w:sz w:val="28"/>
          <w:szCs w:val="28"/>
          <w:highlight w:val="none"/>
        </w:rPr>
        <w:t>三部分组成。具体内容和格式见竞争性磋商文件</w:t>
      </w:r>
      <w:r>
        <w:rPr>
          <w:rFonts w:hint="eastAsia" w:ascii="仿宋_GB2312" w:hAnsi="仿宋_GB2312" w:eastAsia="仿宋_GB2312" w:cs="仿宋_GB2312"/>
          <w:bCs/>
          <w:color w:val="auto"/>
          <w:sz w:val="28"/>
          <w:szCs w:val="28"/>
          <w:highlight w:val="none"/>
        </w:rPr>
        <w:t>第四章</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12.响应性文件格式</w:t>
      </w:r>
    </w:p>
    <w:p>
      <w:pPr>
        <w:keepNext w:val="0"/>
        <w:keepLines w:val="0"/>
        <w:pageBreakBefore w:val="0"/>
        <w:widowControl/>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12.1供应商可按照竞争性磋商文件提供的格式编写响应性文件，但不得缺少或私自更改任何竞争性磋商文件要求填写的表格或提交的资料。竞争性磋商文件提供格式的按格式填列，未提供格式的可自行拟定。</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13.竞争性磋商报价</w:t>
      </w:r>
    </w:p>
    <w:p>
      <w:pPr>
        <w:spacing w:line="560" w:lineRule="exact"/>
        <w:ind w:firstLine="560" w:firstLineChars="200"/>
        <w:jc w:val="both"/>
        <w:rPr>
          <w:rFonts w:hint="eastAsia" w:ascii="仿宋_GB2312" w:eastAsia="仿宋_GB2312"/>
          <w:color w:val="auto"/>
          <w:sz w:val="28"/>
          <w:szCs w:val="28"/>
          <w:lang w:eastAsia="zh-CN"/>
        </w:rPr>
      </w:pPr>
      <w:r>
        <w:rPr>
          <w:rFonts w:hint="eastAsia" w:ascii="仿宋_GB2312" w:hAnsi="仿宋_GB2312" w:eastAsia="仿宋_GB2312" w:cs="仿宋_GB2312"/>
          <w:color w:val="auto"/>
          <w:sz w:val="28"/>
          <w:szCs w:val="28"/>
          <w:highlight w:val="none"/>
        </w:rPr>
        <w:t>13.1所有磋商报价均以人民币元为计算单位。</w:t>
      </w:r>
      <w:r>
        <w:rPr>
          <w:rFonts w:hint="eastAsia" w:ascii="仿宋_GB2312" w:eastAsia="仿宋_GB2312"/>
          <w:color w:val="auto"/>
          <w:sz w:val="28"/>
          <w:szCs w:val="28"/>
          <w:lang w:eastAsia="zh-CN"/>
        </w:rPr>
        <w:t>供应商的报价为</w:t>
      </w:r>
      <w:r>
        <w:rPr>
          <w:rFonts w:hint="eastAsia" w:ascii="仿宋_GB2312" w:eastAsia="仿宋_GB2312"/>
          <w:color w:val="auto"/>
          <w:sz w:val="28"/>
          <w:szCs w:val="28"/>
          <w:lang w:val="en-US" w:eastAsia="zh-CN"/>
        </w:rPr>
        <w:t>该项目</w:t>
      </w:r>
      <w:r>
        <w:rPr>
          <w:rFonts w:hint="eastAsia" w:ascii="仿宋_GB2312" w:eastAsia="仿宋_GB2312"/>
          <w:color w:val="auto"/>
          <w:sz w:val="28"/>
          <w:szCs w:val="28"/>
          <w:lang w:eastAsia="zh-CN"/>
        </w:rPr>
        <w:t>发生的全部费用及税金等及其他所有费用的总和，采购人不再追加任何费用。</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13.2响应性文件中的报价并非最后报价，在竞争性磋商结束后由供应商再提交最后报价。</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13.3 采购代理机构不接受有选择的报价。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13.4 最后报价不得超过采购预算。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13.5报价均须以人民币为计算单位。</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14．响应性文件有效期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14.l 响应性文件有效期为自竞争性磋商会开始之日起60天，有效期短于此规定的响应性文件将被视为无效。</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14.2 特殊情况下，采购代理机构可于响应性文件有效期满之前书面要求供应商同意延长有效期，供应商应在采购代理机构规定的期限内以书面形式予以答复。供应商答复不明确或逾期未答复的，均视为同意上述要求。 </w:t>
      </w:r>
    </w:p>
    <w:p>
      <w:pPr>
        <w:keepNext w:val="0"/>
        <w:keepLines w:val="0"/>
        <w:pageBreakBefore w:val="0"/>
        <w:kinsoku/>
        <w:wordWrap/>
        <w:overflowPunct/>
        <w:topLinePunct w:val="0"/>
        <w:bidi w:val="0"/>
        <w:snapToGrid/>
        <w:spacing w:line="560" w:lineRule="exact"/>
        <w:ind w:firstLine="562"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15.响应性文件的签署、盖章及</w:t>
      </w:r>
      <w:r>
        <w:rPr>
          <w:rFonts w:hint="eastAsia" w:ascii="仿宋_GB2312" w:hAnsi="仿宋_GB2312" w:eastAsia="仿宋_GB2312" w:cs="仿宋_GB2312"/>
          <w:b/>
          <w:bCs/>
          <w:color w:val="auto"/>
          <w:sz w:val="28"/>
          <w:szCs w:val="28"/>
          <w:highlight w:val="none"/>
          <w:lang w:val="en-US" w:eastAsia="zh-CN"/>
        </w:rPr>
        <w:t>提交</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15.1供应商登录“焦作市公共资源交易中心”网站，按要求下载“新点投标文件制作软件”。 </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15.2 供应商凭CA 锁登录，并按网上提示自行下载磋商文件。使用“新点投标文件制作软件”按要求制作电子响应性文件。供应商在制作电子响应性文件时，应按要求进行电子签章。供应商编辑电子响应性文件时，根据磋商文件要求用法定代表人CA锁和企业CA锁进行签章制作；最后一步生成电子响应文件时，只能用本单位的企业CA 锁。 </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15.3加密的电子响应性文件为“焦作市公共资源交易中心”网站提供的“新点投标文件制作软件”制作生成的加密版响应性文件。未加密的电子响应性文件应与加密的电子响应性文件为同时生成的版本。 </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15.4响应性文件格式所要求包含的全部资料应全部制作在响应性文件内，严格按照本项目响应性文件所有格式如实填写（不涉及的内容除外），不应存在漏项或缺项，否则将存在响应性文件被否决的风险。 </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15.5 响应文件所附证明材料均为原件的扫描件（或照片），尺寸和清晰度应该能够在电脑上被阅读、识别和判断；若供应商未按要求提供证明材料或提供不清晰的扫描件（或照片）的，磋商小组有权认定其响应文件未对磋商文件有关要求进行响应，涉及资格审查性或符合性审查的将不予通过。</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供应商可按本竞争性磋商文件规定的格式编制响应性文件。除了响应性文件封面以外，每个页面都要在明显位置编制页码，</w:t>
      </w:r>
      <w:r>
        <w:rPr>
          <w:rFonts w:hint="eastAsia" w:ascii="仿宋_GB2312" w:hAnsi="仿宋_GB2312" w:eastAsia="仿宋_GB2312" w:cs="仿宋_GB2312"/>
          <w:color w:val="auto"/>
          <w:sz w:val="28"/>
          <w:szCs w:val="28"/>
          <w:highlight w:val="none"/>
          <w:lang w:val="zh-CN"/>
        </w:rPr>
        <w:t>字迹需清晰可认，响应性文件的目录</w:t>
      </w:r>
      <w:r>
        <w:rPr>
          <w:rFonts w:hint="eastAsia" w:ascii="仿宋_GB2312" w:hAnsi="仿宋_GB2312" w:eastAsia="仿宋_GB2312" w:cs="仿宋_GB2312"/>
          <w:color w:val="auto"/>
          <w:sz w:val="28"/>
          <w:szCs w:val="28"/>
          <w:highlight w:val="none"/>
        </w:rPr>
        <w:t>需</w:t>
      </w:r>
      <w:r>
        <w:rPr>
          <w:rFonts w:hint="eastAsia" w:ascii="仿宋_GB2312" w:hAnsi="仿宋_GB2312" w:eastAsia="仿宋_GB2312" w:cs="仿宋_GB2312"/>
          <w:color w:val="auto"/>
          <w:sz w:val="28"/>
          <w:szCs w:val="28"/>
          <w:highlight w:val="none"/>
          <w:lang w:val="zh-CN"/>
        </w:rPr>
        <w:t>编序。响应性文件内容不完整、编排混乱导致被误读、漏读或者查找不到相关内容的，由供应商负责。</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 xml:space="preserve"> 响应</w:t>
      </w:r>
      <w:r>
        <w:rPr>
          <w:rFonts w:hint="eastAsia" w:ascii="仿宋_GB2312" w:hAnsi="仿宋_GB2312" w:eastAsia="仿宋_GB2312" w:cs="仿宋_GB2312"/>
          <w:color w:val="auto"/>
          <w:sz w:val="28"/>
          <w:szCs w:val="28"/>
          <w:highlight w:val="none"/>
          <w:lang w:val="zh-CN"/>
        </w:rPr>
        <w:t>文件未按要求签字或加盖公章的视为无效文件。本采购文件所表述（指定）的公章是指法人（供应商）行政公章，不包括专用章。</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响应性文件应无涂改和行间插字，除非这些改动是为改正供应商造成的必须修改的错误进行的。有改动时，修改处应由供应商代表签署证明或加盖公章，但非供应商出具的材料，供应商改动无效。</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供应商提交的资料应证明其满足竞争性磋商文件要求，该文件可以是文字资料、图纸和数据，以及拟提供货物的主要技术参数、指标和性能，提供服务的详细描述等资料。</w:t>
      </w:r>
    </w:p>
    <w:p>
      <w:pPr>
        <w:keepNext w:val="0"/>
        <w:keepLines w:val="0"/>
        <w:pageBreakBefore w:val="0"/>
        <w:numPr>
          <w:ilvl w:val="0"/>
          <w:numId w:val="5"/>
        </w:numPr>
        <w:kinsoku/>
        <w:wordWrap/>
        <w:overflowPunct/>
        <w:topLinePunct w:val="0"/>
        <w:bidi w:val="0"/>
        <w:snapToGrid/>
        <w:spacing w:line="56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响应性文件的递交</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16.响应性文件的密封和标记</w:t>
      </w:r>
    </w:p>
    <w:p>
      <w:pPr>
        <w:keepNext w:val="0"/>
        <w:keepLines w:val="0"/>
        <w:pageBreakBefore w:val="0"/>
        <w:kinsoku/>
        <w:wordWrap/>
        <w:overflowPunct/>
        <w:topLinePunct w:val="0"/>
        <w:bidi w:val="0"/>
        <w:snapToGrid/>
        <w:spacing w:line="560" w:lineRule="exact"/>
        <w:ind w:firstLine="560" w:firstLineChars="2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16.1本项目为不见面开标，加密电子</w:t>
      </w:r>
      <w:r>
        <w:rPr>
          <w:rFonts w:hint="eastAsia" w:ascii="仿宋_GB2312" w:hAnsi="仿宋_GB2312" w:eastAsia="仿宋_GB2312" w:cs="仿宋_GB2312"/>
          <w:color w:val="auto"/>
          <w:sz w:val="28"/>
          <w:szCs w:val="28"/>
          <w:highlight w:val="none"/>
          <w:lang w:val="en-US" w:eastAsia="zh-CN"/>
        </w:rPr>
        <w:t>响应性</w:t>
      </w:r>
      <w:r>
        <w:rPr>
          <w:rFonts w:hint="eastAsia" w:ascii="仿宋_GB2312" w:hAnsi="仿宋_GB2312" w:eastAsia="仿宋_GB2312" w:cs="仿宋_GB2312"/>
          <w:color w:val="auto"/>
          <w:sz w:val="28"/>
          <w:szCs w:val="28"/>
          <w:highlight w:val="none"/>
        </w:rPr>
        <w:t>文件须在</w:t>
      </w:r>
      <w:r>
        <w:rPr>
          <w:rFonts w:hint="eastAsia" w:ascii="仿宋_GB2312" w:hAnsi="仿宋_GB2312" w:eastAsia="仿宋_GB2312" w:cs="仿宋_GB2312"/>
          <w:color w:val="auto"/>
          <w:sz w:val="28"/>
          <w:szCs w:val="28"/>
          <w:highlight w:val="none"/>
          <w:lang w:val="en-US" w:eastAsia="zh-CN"/>
        </w:rPr>
        <w:t>响应性文件提交</w:t>
      </w:r>
      <w:r>
        <w:rPr>
          <w:rFonts w:hint="eastAsia" w:ascii="仿宋_GB2312" w:hAnsi="仿宋_GB2312" w:eastAsia="仿宋_GB2312" w:cs="仿宋_GB2312"/>
          <w:color w:val="auto"/>
          <w:sz w:val="28"/>
          <w:szCs w:val="28"/>
          <w:highlight w:val="none"/>
        </w:rPr>
        <w:t>截止时间前通过“焦作市公共资源交易中心（http://www.jzggzy.cn/）”网站-交易平台加密上传。除电子</w:t>
      </w:r>
      <w:r>
        <w:rPr>
          <w:rFonts w:hint="eastAsia" w:ascii="仿宋_GB2312" w:hAnsi="仿宋_GB2312" w:eastAsia="仿宋_GB2312" w:cs="仿宋_GB2312"/>
          <w:color w:val="auto"/>
          <w:sz w:val="28"/>
          <w:szCs w:val="28"/>
          <w:highlight w:val="none"/>
          <w:lang w:val="en-US" w:eastAsia="zh-CN"/>
        </w:rPr>
        <w:t>响应性</w:t>
      </w:r>
      <w:r>
        <w:rPr>
          <w:rFonts w:hint="eastAsia" w:ascii="仿宋_GB2312" w:hAnsi="仿宋_GB2312" w:eastAsia="仿宋_GB2312" w:cs="仿宋_GB2312"/>
          <w:color w:val="auto"/>
          <w:sz w:val="28"/>
          <w:szCs w:val="28"/>
          <w:highlight w:val="none"/>
        </w:rPr>
        <w:t>文件外，</w:t>
      </w:r>
      <w:r>
        <w:rPr>
          <w:rFonts w:hint="eastAsia" w:ascii="仿宋_GB2312" w:hAnsi="仿宋_GB2312" w:eastAsia="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时不再接受任何纸质文件、资料等。</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17.响应性文件的递交</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17.1 供应商应在竞争性磋商邀请函中规定的截止日期和时间前，将响应性文件</w:t>
      </w:r>
      <w:r>
        <w:rPr>
          <w:rFonts w:hint="eastAsia" w:ascii="仿宋_GB2312" w:hAnsi="仿宋_GB2312" w:eastAsia="仿宋_GB2312" w:cs="仿宋_GB2312"/>
          <w:color w:val="auto"/>
          <w:sz w:val="28"/>
          <w:szCs w:val="28"/>
          <w:highlight w:val="none"/>
          <w:lang w:val="en-US" w:eastAsia="zh-CN"/>
        </w:rPr>
        <w:t>进行上传</w:t>
      </w:r>
      <w:r>
        <w:rPr>
          <w:rFonts w:hint="eastAsia" w:ascii="仿宋_GB2312" w:hAnsi="仿宋_GB2312" w:eastAsia="仿宋_GB2312" w:cs="仿宋_GB2312"/>
          <w:color w:val="auto"/>
          <w:sz w:val="28"/>
          <w:szCs w:val="28"/>
          <w:highlight w:val="none"/>
        </w:rPr>
        <w:t>，递交（接收）</w:t>
      </w:r>
      <w:r>
        <w:rPr>
          <w:rFonts w:hint="eastAsia" w:ascii="仿宋_GB2312" w:hAnsi="仿宋_GB2312" w:eastAsia="仿宋_GB2312" w:cs="仿宋_GB2312"/>
          <w:color w:val="auto"/>
          <w:sz w:val="28"/>
          <w:szCs w:val="28"/>
          <w:highlight w:val="none"/>
          <w:lang w:val="en-US" w:eastAsia="zh-CN"/>
        </w:rPr>
        <w:t>截止时间</w:t>
      </w:r>
      <w:r>
        <w:rPr>
          <w:rFonts w:hint="eastAsia" w:ascii="仿宋_GB2312" w:hAnsi="仿宋_GB2312" w:eastAsia="仿宋_GB2312" w:cs="仿宋_GB2312"/>
          <w:color w:val="auto"/>
          <w:sz w:val="28"/>
          <w:szCs w:val="28"/>
          <w:highlight w:val="none"/>
        </w:rPr>
        <w:t>为竞争性磋商邀请函中规定的</w:t>
      </w:r>
      <w:r>
        <w:rPr>
          <w:rFonts w:hint="eastAsia" w:ascii="仿宋_GB2312" w:hAnsi="仿宋_GB2312" w:eastAsia="仿宋_GB2312" w:cs="仿宋_GB2312"/>
          <w:color w:val="auto"/>
          <w:sz w:val="28"/>
          <w:szCs w:val="28"/>
          <w:highlight w:val="none"/>
          <w:lang w:val="en-US" w:eastAsia="zh-CN"/>
        </w:rPr>
        <w:t>响应性文件提交截止时间</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由于对网上投标操作程序不熟悉或自身电脑、网络的原因导致不能在响应性文件提交截止时间之前上传电子响应性文件，由供应商自行负责。</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17.2</w:t>
      </w:r>
      <w:r>
        <w:rPr>
          <w:rFonts w:hint="eastAsia" w:ascii="仿宋_GB2312" w:eastAsia="仿宋_GB2312"/>
          <w:color w:val="auto"/>
          <w:sz w:val="28"/>
          <w:szCs w:val="28"/>
          <w:highlight w:val="none"/>
          <w:lang w:val="en-US" w:eastAsia="zh-CN"/>
        </w:rPr>
        <w:t>未在</w:t>
      </w:r>
      <w:r>
        <w:rPr>
          <w:rFonts w:hint="eastAsia" w:ascii="仿宋_GB2312" w:hAnsi="仿宋_GB2312" w:eastAsia="仿宋_GB2312" w:cs="仿宋_GB2312"/>
          <w:color w:val="auto"/>
          <w:sz w:val="28"/>
          <w:szCs w:val="28"/>
          <w:highlight w:val="none"/>
          <w:lang w:val="en-US" w:eastAsia="zh-CN"/>
        </w:rPr>
        <w:t>响应性文件提交截止时间</w:t>
      </w:r>
      <w:r>
        <w:rPr>
          <w:rFonts w:hint="eastAsia" w:ascii="仿宋_GB2312" w:eastAsia="仿宋_GB2312"/>
          <w:color w:val="auto"/>
          <w:sz w:val="28"/>
          <w:szCs w:val="28"/>
          <w:highlight w:val="none"/>
          <w:lang w:val="en-US" w:eastAsia="zh-CN"/>
        </w:rPr>
        <w:t>前完成上传加密的电子响应性文件视为逾期送达。逾期上传或未按规定方式上传加密的电子响应性文件，投标无效</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17.3</w:t>
      </w:r>
      <w:r>
        <w:rPr>
          <w:rFonts w:hint="eastAsia" w:ascii="仿宋_GB2312" w:hAnsi="仿宋_GB2312" w:eastAsia="仿宋_GB2312" w:cs="仿宋_GB2312"/>
          <w:color w:val="auto"/>
          <w:sz w:val="28"/>
          <w:szCs w:val="28"/>
          <w:highlight w:val="none"/>
        </w:rPr>
        <w:t xml:space="preserve">若采购代理机构推迟了响应性文件接收截止时间，采购代理机构和供应商受响应性文件接收截止时间制约的所有权利和义务均应以新的截止时间为准。 </w:t>
      </w:r>
    </w:p>
    <w:p>
      <w:pPr>
        <w:pStyle w:val="60"/>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bCs/>
          <w:color w:val="auto"/>
          <w:sz w:val="28"/>
          <w:szCs w:val="28"/>
          <w:highlight w:val="none"/>
        </w:rPr>
        <w:t>18</w:t>
      </w:r>
      <w:r>
        <w:rPr>
          <w:rFonts w:hint="eastAsia" w:ascii="仿宋_GB2312" w:hAnsi="仿宋_GB2312" w:eastAsia="仿宋_GB2312" w:cs="仿宋_GB2312"/>
          <w:b/>
          <w:color w:val="auto"/>
          <w:sz w:val="28"/>
          <w:szCs w:val="28"/>
          <w:highlight w:val="none"/>
        </w:rPr>
        <w:t>.响应性文件的修改和撤回</w:t>
      </w:r>
    </w:p>
    <w:p>
      <w:pPr>
        <w:pStyle w:val="60"/>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 xml:space="preserve">18.1 </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在提交</w:t>
      </w:r>
      <w:r>
        <w:rPr>
          <w:rFonts w:hint="eastAsia" w:ascii="仿宋_GB2312" w:hAnsi="仿宋_GB2312" w:eastAsia="仿宋_GB2312" w:cs="仿宋_GB2312"/>
          <w:color w:val="auto"/>
          <w:sz w:val="28"/>
          <w:szCs w:val="28"/>
          <w:highlight w:val="none"/>
          <w:lang w:val="en-US" w:eastAsia="zh-CN"/>
        </w:rPr>
        <w:t>响应性</w:t>
      </w:r>
      <w:r>
        <w:rPr>
          <w:rFonts w:hint="eastAsia" w:ascii="仿宋_GB2312" w:hAnsi="仿宋_GB2312" w:eastAsia="仿宋_GB2312" w:cs="仿宋_GB2312"/>
          <w:color w:val="auto"/>
          <w:sz w:val="28"/>
          <w:szCs w:val="28"/>
          <w:highlight w:val="none"/>
        </w:rPr>
        <w:t>文件后可对其</w:t>
      </w:r>
      <w:r>
        <w:rPr>
          <w:rFonts w:hint="eastAsia" w:ascii="仿宋_GB2312" w:hAnsi="仿宋_GB2312" w:eastAsia="仿宋_GB2312" w:cs="仿宋_GB2312"/>
          <w:color w:val="auto"/>
          <w:sz w:val="28"/>
          <w:szCs w:val="28"/>
          <w:highlight w:val="none"/>
          <w:lang w:val="en-US" w:eastAsia="zh-CN"/>
        </w:rPr>
        <w:t>响应性</w:t>
      </w:r>
      <w:r>
        <w:rPr>
          <w:rFonts w:hint="eastAsia" w:ascii="仿宋_GB2312" w:hAnsi="仿宋_GB2312" w:eastAsia="仿宋_GB2312" w:cs="仿宋_GB2312"/>
          <w:color w:val="auto"/>
          <w:sz w:val="28"/>
          <w:szCs w:val="28"/>
          <w:highlight w:val="none"/>
        </w:rPr>
        <w:t>文件进行修改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撤回</w:t>
      </w:r>
      <w:r>
        <w:rPr>
          <w:rFonts w:hint="eastAsia" w:ascii="仿宋_GB2312" w:hAnsi="仿宋_GB2312" w:eastAsia="仿宋_GB2312" w:cs="仿宋_GB2312"/>
          <w:color w:val="auto"/>
          <w:sz w:val="28"/>
          <w:szCs w:val="28"/>
          <w:highlight w:val="none"/>
          <w:lang w:val="en-US" w:eastAsia="zh-CN"/>
        </w:rPr>
        <w:t>，但需要在响应性文件接收截止时间前</w:t>
      </w:r>
      <w:r>
        <w:rPr>
          <w:rFonts w:hint="eastAsia" w:ascii="仿宋_GB2312" w:hAnsi="仿宋_GB2312" w:eastAsia="仿宋_GB2312" w:cs="仿宋_GB2312"/>
          <w:color w:val="auto"/>
          <w:sz w:val="28"/>
          <w:szCs w:val="28"/>
          <w:highlight w:val="none"/>
        </w:rPr>
        <w:t>重新上传</w:t>
      </w:r>
      <w:r>
        <w:rPr>
          <w:rFonts w:hint="eastAsia" w:ascii="仿宋_GB2312" w:hAnsi="仿宋_GB2312" w:eastAsia="仿宋_GB2312" w:cs="仿宋_GB2312"/>
          <w:color w:val="auto"/>
          <w:sz w:val="28"/>
          <w:szCs w:val="28"/>
          <w:highlight w:val="none"/>
          <w:lang w:val="en-US" w:eastAsia="zh-CN"/>
        </w:rPr>
        <w:t>响应性</w:t>
      </w:r>
      <w:r>
        <w:rPr>
          <w:rFonts w:hint="eastAsia" w:ascii="仿宋_GB2312" w:hAnsi="仿宋_GB2312" w:eastAsia="仿宋_GB2312" w:cs="仿宋_GB2312"/>
          <w:color w:val="auto"/>
          <w:sz w:val="28"/>
          <w:szCs w:val="28"/>
          <w:highlight w:val="none"/>
        </w:rPr>
        <w:t>文件。</w:t>
      </w:r>
    </w:p>
    <w:p>
      <w:pPr>
        <w:pStyle w:val="60"/>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 供应商在响应性文件接收截止时间后不得修改、撤回响应性文件。供应商在响应性文件接收截止时间后修改响应性文件的，将被拒绝接受。</w:t>
      </w:r>
    </w:p>
    <w:p>
      <w:pPr>
        <w:pStyle w:val="60"/>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 供应商有下列情形之一的，采购代理机构将拒绝接受其响应性文件：</w:t>
      </w:r>
    </w:p>
    <w:p>
      <w:pPr>
        <w:pStyle w:val="60"/>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.1 在竞争性磋商文件规定的响应性文件接收截止时间之后递交响应性文件的；</w:t>
      </w:r>
    </w:p>
    <w:p>
      <w:pPr>
        <w:pStyle w:val="60"/>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.2 响应性文件未按竞争性磋商文件规定签署、盖章的；</w:t>
      </w:r>
    </w:p>
    <w:p>
      <w:pPr>
        <w:pStyle w:val="60"/>
        <w:keepNext w:val="0"/>
        <w:keepLines w:val="0"/>
        <w:pageBreakBefore w:val="0"/>
        <w:kinsoku/>
        <w:wordWrap/>
        <w:overflowPunct/>
        <w:topLinePunct w:val="0"/>
        <w:bidi w:val="0"/>
        <w:snapToGrid/>
        <w:spacing w:line="560" w:lineRule="exact"/>
        <w:ind w:firstLine="560" w:firstLineChars="200"/>
        <w:textAlignment w:val="auto"/>
        <w:outlineLvl w:val="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 未获取竞争性磋商文件参加竞争性磋商的；</w:t>
      </w:r>
    </w:p>
    <w:p>
      <w:pPr>
        <w:pStyle w:val="60"/>
        <w:keepNext w:val="0"/>
        <w:keepLines w:val="0"/>
        <w:pageBreakBefore w:val="0"/>
        <w:kinsoku/>
        <w:wordWrap/>
        <w:overflowPunct/>
        <w:topLinePunct w:val="0"/>
        <w:bidi w:val="0"/>
        <w:snapToGrid/>
        <w:spacing w:line="560" w:lineRule="exact"/>
        <w:ind w:firstLine="560" w:firstLineChars="200"/>
        <w:textAlignment w:val="auto"/>
        <w:rPr>
          <w:rFonts w:hint="eastAsia" w:ascii="宋体" w:hAnsi="宋体" w:eastAsia="仿宋_GB2312"/>
          <w:b/>
          <w:color w:val="auto"/>
          <w:sz w:val="28"/>
          <w:szCs w:val="28"/>
          <w:highlight w:val="none"/>
          <w:lang w:eastAsia="zh-CN"/>
        </w:rPr>
      </w:pPr>
      <w:r>
        <w:rPr>
          <w:rFonts w:hint="eastAsia" w:ascii="仿宋_GB2312" w:hAnsi="仿宋_GB2312" w:eastAsia="仿宋_GB2312" w:cs="仿宋_GB2312"/>
          <w:color w:val="auto"/>
          <w:sz w:val="28"/>
          <w:szCs w:val="28"/>
          <w:highlight w:val="none"/>
        </w:rPr>
        <w:t>18.</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.4 一个供应商不止递交一套响应性文件的</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wordWrap/>
        <w:overflowPunct/>
        <w:topLinePunct w:val="0"/>
        <w:bidi w:val="0"/>
        <w:snapToGrid/>
        <w:spacing w:line="56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五、</w:t>
      </w:r>
      <w:r>
        <w:rPr>
          <w:rFonts w:hint="eastAsia" w:ascii="宋体" w:hAnsi="宋体" w:cs="宋体"/>
          <w:b/>
          <w:color w:val="auto"/>
          <w:sz w:val="28"/>
          <w:szCs w:val="28"/>
          <w:highlight w:val="none"/>
          <w:lang w:val="en-US" w:eastAsia="zh-CN"/>
        </w:rPr>
        <w:t>磋商会及</w:t>
      </w:r>
      <w:r>
        <w:rPr>
          <w:rFonts w:hint="eastAsia" w:ascii="宋体" w:hAnsi="宋体" w:cs="宋体"/>
          <w:b/>
          <w:color w:val="auto"/>
          <w:sz w:val="28"/>
          <w:szCs w:val="28"/>
          <w:highlight w:val="none"/>
        </w:rPr>
        <w:t>竞争性磋商</w:t>
      </w:r>
    </w:p>
    <w:p>
      <w:pPr>
        <w:keepNext w:val="0"/>
        <w:keepLines w:val="0"/>
        <w:pageBreakBefore w:val="0"/>
        <w:kinsoku/>
        <w:wordWrap/>
        <w:topLinePunct w:val="0"/>
        <w:bidi w:val="0"/>
        <w:spacing w:line="560" w:lineRule="exact"/>
        <w:ind w:firstLine="562" w:firstLineChars="200"/>
        <w:jc w:val="both"/>
        <w:rPr>
          <w:rFonts w:hint="default" w:ascii="仿宋_GB2312" w:eastAsia="仿宋_GB2312"/>
          <w:b/>
          <w:bCs w:val="0"/>
          <w:color w:val="auto"/>
          <w:sz w:val="28"/>
          <w:szCs w:val="28"/>
          <w:lang w:val="en-US" w:eastAsia="zh-CN"/>
        </w:rPr>
      </w:pPr>
      <w:r>
        <w:rPr>
          <w:rFonts w:hint="eastAsia" w:ascii="仿宋_GB2312" w:eastAsia="仿宋_GB2312"/>
          <w:b/>
          <w:bCs w:val="0"/>
          <w:color w:val="auto"/>
          <w:sz w:val="28"/>
          <w:szCs w:val="28"/>
          <w:lang w:val="en-US" w:eastAsia="zh-CN"/>
        </w:rPr>
        <w:t>19</w:t>
      </w:r>
      <w:r>
        <w:rPr>
          <w:rFonts w:hint="eastAsia" w:ascii="仿宋_GB2312" w:eastAsia="仿宋_GB2312"/>
          <w:b/>
          <w:bCs w:val="0"/>
          <w:color w:val="auto"/>
          <w:sz w:val="28"/>
          <w:szCs w:val="28"/>
        </w:rPr>
        <w:t>.</w:t>
      </w:r>
      <w:r>
        <w:rPr>
          <w:rFonts w:hint="eastAsia" w:ascii="仿宋_GB2312" w:eastAsia="仿宋_GB2312"/>
          <w:b/>
          <w:bCs w:val="0"/>
          <w:color w:val="auto"/>
          <w:sz w:val="28"/>
          <w:szCs w:val="28"/>
          <w:lang w:val="en-US" w:eastAsia="zh-CN"/>
        </w:rPr>
        <w:t>磋商会</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19</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1本项目采用远程不见面交易的模式。</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highlight w:val="none"/>
          <w:lang w:val="en-US" w:eastAsia="zh-CN"/>
        </w:rPr>
        <w:t>采购人</w:t>
      </w: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lang w:val="en-US" w:eastAsia="zh-CN"/>
        </w:rPr>
        <w:t>竞争性磋商</w:t>
      </w:r>
      <w:r>
        <w:rPr>
          <w:rFonts w:hint="eastAsia" w:ascii="仿宋_GB2312" w:eastAsia="仿宋_GB2312"/>
          <w:color w:val="auto"/>
          <w:sz w:val="28"/>
          <w:szCs w:val="28"/>
          <w:highlight w:val="none"/>
        </w:rPr>
        <w:t>文件中规定的时间和地点开标。</w:t>
      </w:r>
      <w:r>
        <w:rPr>
          <w:rFonts w:hint="eastAsia" w:ascii="仿宋_GB2312" w:eastAsia="仿宋_GB2312"/>
          <w:color w:val="auto"/>
          <w:sz w:val="28"/>
          <w:szCs w:val="28"/>
          <w:highlight w:val="none"/>
          <w:lang w:val="en-US" w:eastAsia="zh-CN"/>
        </w:rPr>
        <w:t>不见面开标大厅网址 （http://www.jzggzy.cn/BidOpeningHall/bidhall/default/login）供应商无需到焦作市公共资源交易中心现场参加磋商会，无需到达现场提交原件资料。</w:t>
      </w:r>
      <w:r>
        <w:rPr>
          <w:rFonts w:hint="eastAsia" w:ascii="仿宋_GB2312" w:eastAsia="仿宋_GB2312"/>
          <w:b/>
          <w:bCs/>
          <w:color w:val="auto"/>
          <w:sz w:val="28"/>
          <w:szCs w:val="28"/>
          <w:highlight w:val="none"/>
          <w:lang w:val="en-US" w:eastAsia="zh-CN"/>
        </w:rPr>
        <w:t>供应商应在响应性文件接收截止时间前，登录不见面开标大厅系统，在线准时参加磋商活动并进行文件解密，开标结束后，在焦作市公共资源交易平台进行交易主体登录，在线参加答疑澄清、二轮报价或最后报价等。在规定时间内响应性文件未解密的供应商，视为放弃投标。</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供应商应在磋商会当天及时关注本单位的情况，如遇问题，请拨打平台统一技术服务电话为：400-998-0000，服务QQ:4008503300。 </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19.2磋商会程序：</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（1）公布在递交响应性文件截止时间前递交响应性文件的供应商名称；</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（2）供应商在不见面开标大厅对已递交的电子响应性文件在规定时间内进行解密；</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（3）批量导入文件；</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（4）代理机构将通过不见面开标大厅公布磋商项目名称、供应商名称及其他内容，并记录在案；</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（5）供应商对开标过程进行无异议确认；</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（6）采购人代表、监督人等有关人员按具体现场系统情况在开标记录上签字确认；</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（7）开标结束；</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（8）磋商小组对已通过资格性、符合性审查的供应商发起二轮或最后报价邀请；</w:t>
      </w:r>
    </w:p>
    <w:p>
      <w:pPr>
        <w:keepNext w:val="0"/>
        <w:keepLines w:val="0"/>
        <w:pageBreakBefore w:val="0"/>
        <w:kinsoku/>
        <w:wordWrap/>
        <w:topLinePunct w:val="0"/>
        <w:bidi w:val="0"/>
        <w:spacing w:line="560" w:lineRule="exact"/>
        <w:ind w:firstLine="560" w:firstLineChars="200"/>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（9）供应商在规定时间内通过焦作市公共资源交易平台进行二轮或最后报价。</w:t>
      </w:r>
    </w:p>
    <w:p>
      <w:pPr>
        <w:keepNext w:val="0"/>
        <w:keepLines w:val="0"/>
        <w:pageBreakBefore w:val="0"/>
        <w:kinsoku/>
        <w:wordWrap/>
        <w:topLinePunct w:val="0"/>
        <w:bidi w:val="0"/>
        <w:spacing w:line="560" w:lineRule="exact"/>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highlight w:val="none"/>
          <w:lang w:val="en-US" w:eastAsia="zh-CN"/>
        </w:rPr>
        <w:t>19.3供应商应认</w:t>
      </w:r>
      <w:r>
        <w:rPr>
          <w:rFonts w:hint="eastAsia" w:ascii="仿宋_GB2312" w:eastAsia="仿宋_GB2312"/>
          <w:color w:val="auto"/>
          <w:sz w:val="28"/>
          <w:szCs w:val="28"/>
          <w:lang w:val="en-US" w:eastAsia="zh-CN"/>
        </w:rPr>
        <w:t xml:space="preserve">真学习《投标单位操作手册》，根据手册要求做好不见面磋商的准备工作，否则由此引起的未能解密、解密失败或解密超时的将被拒绝。 </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19.4供应商应在解密时间内插入单位CA锁，输入密码，进行解密。 </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19.5采购人及采购代理机构在磋商文件规定的时间及地点开标。供应商无需到达磋商会现场，但在开评标期间，供应商的法定代表人或其授权委托人应参与远程交互，中途不得更换，在解密文件、澄清、答疑、传送文件、最后报价等特殊情况下需要交互时，供应商一端参与交互的人员将均被视为是供应商的法定代表人或其授权委托人，供应商自行承担随意更换人员或未按要求参与交互所导致的一切后果。供应商超时交互，由此产生的不利于供应商的评审风险由供应商自行承担。</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19.6供应商出现下列情况之一者为废标，取消参加磋商资格：</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highlight w:val="none"/>
          <w:lang w:val="en-US" w:eastAsia="zh-CN"/>
        </w:rPr>
        <w:t>未按规定在响应性文件接收截止时间前递交电子响应性文件（加密版）的；</w:t>
      </w:r>
    </w:p>
    <w:p>
      <w:pPr>
        <w:keepNext w:val="0"/>
        <w:keepLines w:val="0"/>
        <w:pageBreakBefore w:val="0"/>
        <w:tabs>
          <w:tab w:val="left" w:pos="1620"/>
        </w:tabs>
        <w:kinsoku/>
        <w:wordWrap/>
        <w:topLinePunct w:val="0"/>
        <w:bidi w:val="0"/>
        <w:spacing w:line="560" w:lineRule="exact"/>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highlight w:val="none"/>
          <w:lang w:val="en-US" w:eastAsia="zh-CN"/>
        </w:rPr>
        <w:t>（2）磋商会时，因供应商自身原因而导致电子响应性文件无法导入“全国公共资源交易平台 （河南省·焦作市）”（</w:t>
      </w:r>
      <w:r>
        <w:rPr>
          <w:rFonts w:hint="eastAsia" w:ascii="仿宋_GB2312" w:eastAsia="仿宋_GB2312"/>
          <w:color w:val="auto"/>
          <w:sz w:val="28"/>
          <w:szCs w:val="28"/>
          <w:highlight w:val="none"/>
          <w:lang w:eastAsia="zh-CN"/>
        </w:rPr>
        <w:t>http://www.jzggzy.cn/</w:t>
      </w:r>
      <w:r>
        <w:rPr>
          <w:rFonts w:hint="eastAsia" w:ascii="仿宋_GB2312" w:eastAsia="仿宋_GB2312"/>
          <w:color w:val="auto"/>
          <w:sz w:val="28"/>
          <w:szCs w:val="28"/>
          <w:highlight w:val="none"/>
          <w:lang w:val="en-US" w:eastAsia="zh-CN"/>
        </w:rPr>
        <w:t>）-“焦作市电子招投标交易平台”电子开标、评标系统的</w:t>
      </w:r>
      <w:r>
        <w:rPr>
          <w:rFonts w:hint="eastAsia" w:ascii="仿宋_GB2312" w:eastAsia="仿宋_GB2312"/>
          <w:color w:val="auto"/>
          <w:sz w:val="28"/>
          <w:szCs w:val="28"/>
          <w:lang w:val="en-US" w:eastAsia="zh-CN"/>
        </w:rPr>
        <w:t>。</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19.7开标异议</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供应商对磋商会有异议的，应当在磋商会现场提出（</w:t>
      </w:r>
      <w:bookmarkStart w:id="0" w:name="_Toc12998"/>
      <w:r>
        <w:rPr>
          <w:rFonts w:hint="eastAsia" w:ascii="仿宋_GB2312" w:hAnsi="宋体" w:eastAsia="仿宋_GB2312" w:cs="宋体"/>
          <w:color w:val="auto"/>
          <w:kern w:val="0"/>
          <w:sz w:val="28"/>
          <w:szCs w:val="28"/>
          <w:lang w:val="en-US" w:eastAsia="zh-CN" w:bidi="ar-SA"/>
        </w:rPr>
        <w:t>语音异议</w:t>
      </w:r>
      <w:bookmarkEnd w:id="0"/>
      <w:r>
        <w:rPr>
          <w:rFonts w:hint="eastAsia" w:ascii="仿宋_GB2312" w:hAnsi="宋体" w:eastAsia="仿宋_GB2312" w:cs="宋体"/>
          <w:color w:val="auto"/>
          <w:kern w:val="0"/>
          <w:sz w:val="28"/>
          <w:szCs w:val="28"/>
          <w:lang w:val="en-US" w:eastAsia="zh-CN" w:bidi="ar-SA"/>
        </w:rPr>
        <w:t>、</w:t>
      </w:r>
      <w:bookmarkStart w:id="1" w:name="_Toc20745"/>
      <w:r>
        <w:rPr>
          <w:rFonts w:hint="eastAsia" w:ascii="仿宋_GB2312" w:hAnsi="宋体" w:eastAsia="仿宋_GB2312" w:cs="宋体"/>
          <w:color w:val="auto"/>
          <w:kern w:val="0"/>
          <w:sz w:val="28"/>
          <w:szCs w:val="28"/>
          <w:lang w:val="en-US" w:eastAsia="zh-CN" w:bidi="ar-SA"/>
        </w:rPr>
        <w:t>文字异议</w:t>
      </w:r>
      <w:bookmarkEnd w:id="1"/>
      <w:r>
        <w:rPr>
          <w:rFonts w:hint="eastAsia" w:ascii="仿宋_GB2312" w:hAnsi="宋体" w:eastAsia="仿宋_GB2312" w:cs="宋体"/>
          <w:color w:val="auto"/>
          <w:kern w:val="0"/>
          <w:sz w:val="28"/>
          <w:szCs w:val="28"/>
          <w:lang w:val="en-US" w:eastAsia="zh-CN" w:bidi="ar-SA"/>
        </w:rPr>
        <w:t>），采购人当场作出答复，并制作记录。</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19.8 开标异常处理</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当出现以下情况时，应对未开标的项目中止电子开标，对原有资料及信息作出妥善保密处理，并在恢复正常后及时安排时间开标：</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（1）系统服务器发生故障，无法访问或无法使用系统；</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（2）系统的软件或数据库出现错误，不能进行正常操作；</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（3）系统发现有安全漏洞，有潜在的泄密危险；</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（4）出现断电事故且短时间内无法恢复供电；</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（5）其他无法保证磋商会过程正常进行的情形。</w:t>
      </w:r>
    </w:p>
    <w:p>
      <w:pPr>
        <w:keepNext w:val="0"/>
        <w:keepLines w:val="0"/>
        <w:pageBreakBefore w:val="0"/>
        <w:kinsoku/>
        <w:wordWrap/>
        <w:overflowPunct/>
        <w:topLinePunct w:val="0"/>
        <w:bidi w:val="0"/>
        <w:snapToGrid/>
        <w:spacing w:line="560" w:lineRule="exact"/>
        <w:ind w:firstLine="562" w:firstLineChars="200"/>
        <w:textAlignment w:val="auto"/>
        <w:outlineLvl w:val="0"/>
        <w:rPr>
          <w:rFonts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en-US" w:eastAsia="zh-CN"/>
        </w:rPr>
        <w:t>20</w:t>
      </w:r>
      <w:r>
        <w:rPr>
          <w:rFonts w:hint="eastAsia" w:ascii="仿宋_GB2312" w:hAnsi="仿宋_GB2312" w:eastAsia="仿宋_GB2312" w:cs="仿宋_GB2312"/>
          <w:b/>
          <w:color w:val="auto"/>
          <w:sz w:val="28"/>
          <w:szCs w:val="28"/>
          <w:highlight w:val="none"/>
        </w:rPr>
        <w:t>.组建</w:t>
      </w:r>
      <w:r>
        <w:rPr>
          <w:rFonts w:hint="eastAsia" w:ascii="仿宋_GB2312" w:hAnsi="仿宋_GB2312" w:eastAsia="仿宋_GB2312" w:cs="仿宋_GB2312"/>
          <w:b/>
          <w:color w:val="auto"/>
          <w:sz w:val="28"/>
          <w:szCs w:val="28"/>
          <w:highlight w:val="none"/>
          <w:lang w:val="zh-CN"/>
        </w:rPr>
        <w:t>竞争性磋商小组</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20</w:t>
      </w:r>
      <w:r>
        <w:rPr>
          <w:rFonts w:hint="eastAsia" w:ascii="仿宋_GB2312" w:hAnsi="仿宋_GB2312" w:eastAsia="仿宋_GB2312" w:cs="仿宋_GB2312"/>
          <w:color w:val="auto"/>
          <w:kern w:val="0"/>
          <w:sz w:val="28"/>
          <w:szCs w:val="28"/>
          <w:highlight w:val="none"/>
        </w:rPr>
        <w:t>.1采购代理机构根据采购项目的特点依法组建竞争性磋商小组。</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20</w:t>
      </w:r>
      <w:r>
        <w:rPr>
          <w:rFonts w:hint="eastAsia" w:ascii="仿宋_GB2312" w:hAnsi="仿宋_GB2312" w:eastAsia="仿宋_GB2312" w:cs="仿宋_GB2312"/>
          <w:color w:val="auto"/>
          <w:kern w:val="0"/>
          <w:sz w:val="28"/>
          <w:szCs w:val="28"/>
          <w:highlight w:val="none"/>
        </w:rPr>
        <w:t>.2竞争性磋商小组由</w:t>
      </w:r>
      <w:r>
        <w:rPr>
          <w:rFonts w:hint="eastAsia" w:ascii="仿宋_GB2312" w:hAnsi="仿宋_GB2312" w:eastAsia="仿宋_GB2312" w:cs="仿宋_GB2312"/>
          <w:color w:val="auto"/>
          <w:kern w:val="0"/>
          <w:sz w:val="28"/>
          <w:szCs w:val="28"/>
          <w:highlight w:val="none"/>
          <w:lang w:val="en-US" w:eastAsia="zh-CN"/>
        </w:rPr>
        <w:t>采购人代表</w:t>
      </w:r>
      <w:r>
        <w:rPr>
          <w:rFonts w:hint="eastAsia" w:ascii="仿宋_GB2312" w:hAnsi="仿宋_GB2312" w:eastAsia="仿宋_GB2312" w:cs="仿宋_GB2312"/>
          <w:color w:val="auto"/>
          <w:kern w:val="0"/>
          <w:sz w:val="28"/>
          <w:szCs w:val="28"/>
          <w:highlight w:val="none"/>
          <w:lang w:val="en-US" w:eastAsia="zh-CN"/>
        </w:rPr>
        <w:t>和</w:t>
      </w:r>
      <w:r>
        <w:rPr>
          <w:rFonts w:hint="eastAsia" w:ascii="仿宋_GB2312" w:hAnsi="仿宋_GB2312" w:eastAsia="仿宋_GB2312" w:cs="仿宋_GB2312"/>
          <w:color w:val="auto"/>
          <w:kern w:val="0"/>
          <w:sz w:val="28"/>
          <w:szCs w:val="28"/>
          <w:highlight w:val="none"/>
        </w:rPr>
        <w:t>有关技术、经济等方面专家共</w:t>
      </w:r>
      <w:r>
        <w:rPr>
          <w:rFonts w:hint="eastAsia" w:ascii="仿宋_GB2312" w:hAnsi="仿宋_GB2312" w:eastAsia="仿宋_GB2312" w:cs="仿宋_GB2312"/>
          <w:color w:val="auto"/>
          <w:kern w:val="0"/>
          <w:sz w:val="28"/>
          <w:szCs w:val="28"/>
          <w:highlight w:val="none"/>
          <w:u w:val="single"/>
        </w:rPr>
        <w:t>3</w:t>
      </w:r>
      <w:r>
        <w:rPr>
          <w:rFonts w:hint="eastAsia" w:ascii="仿宋_GB2312" w:hAnsi="仿宋_GB2312" w:eastAsia="仿宋_GB2312" w:cs="仿宋_GB2312"/>
          <w:color w:val="auto"/>
          <w:kern w:val="0"/>
          <w:sz w:val="28"/>
          <w:szCs w:val="28"/>
          <w:highlight w:val="none"/>
        </w:rPr>
        <w:t>人组成，其中评审专家人数不少于竞争性磋商小组成员总数的2/3。竞争性磋商小组确认竞争性磋商文件，并负责具体评审事务，根据有关法律法规和竞争性磋商文件规定的评审程序，按照评审方法及评审标准独立履行竞争性磋商小组职责。</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1</w:t>
      </w:r>
      <w:r>
        <w:rPr>
          <w:rFonts w:hint="eastAsia" w:ascii="仿宋_GB2312" w:hAnsi="仿宋_GB2312" w:eastAsia="仿宋_GB2312" w:cs="仿宋_GB2312"/>
          <w:b/>
          <w:color w:val="auto"/>
          <w:sz w:val="28"/>
          <w:szCs w:val="28"/>
          <w:highlight w:val="none"/>
        </w:rPr>
        <w:t>.资格性和符合性审查</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.1资格性检查。竞争性磋商小组依据有关法律法规和竞争性磋商文件的规定，对响应性文件中资质证明等进行审查，审查每个供应商提交的资质证明材料是否齐全、完整、合法、有效。</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.1.1资格性审查的内容包括：</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竞争性磋商文件规定的供应商资格条件。</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.2符合性检查。对资格性</w:t>
      </w:r>
      <w:r>
        <w:rPr>
          <w:rFonts w:hint="eastAsia" w:ascii="仿宋_GB2312" w:hAnsi="仿宋_GB2312" w:eastAsia="仿宋_GB2312" w:cs="仿宋_GB2312"/>
          <w:color w:val="auto"/>
          <w:sz w:val="28"/>
          <w:szCs w:val="28"/>
          <w:highlight w:val="none"/>
          <w:lang w:val="en-US" w:eastAsia="zh-CN"/>
        </w:rPr>
        <w:t>审查</w:t>
      </w:r>
      <w:r>
        <w:rPr>
          <w:rFonts w:hint="eastAsia" w:ascii="仿宋_GB2312" w:hAnsi="仿宋_GB2312" w:eastAsia="仿宋_GB2312" w:cs="仿宋_GB2312"/>
          <w:color w:val="auto"/>
          <w:sz w:val="28"/>
          <w:szCs w:val="28"/>
          <w:highlight w:val="none"/>
        </w:rPr>
        <w:t>合格的供应商的响应性文件，依据竞争性磋商文件的规定，从响应性文件的有效性、完整性和对竞争性磋商文件的响应程度，审查响应性文件是否对竞争性磋商文件的实质性要求作出了响应。</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.2.1符合性审查的内容包括：</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（1）响应性文件的有效性(签署情况等)；</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（2）响应性文件的完整性(</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内容等)；</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（3）对竞争性磋商文件的响应程度（是否存在重大负偏离等）。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以上资格性审查和符合性审查的内容只要有一条不满足，则响应性文件无效，将不进入竞争性磋商程序。</w:t>
      </w:r>
      <w:r>
        <w:rPr>
          <w:rFonts w:hint="eastAsia" w:ascii="仿宋_GB2312" w:hAnsi="仿宋_GB2312" w:eastAsia="仿宋_GB2312" w:cs="仿宋_GB2312"/>
          <w:color w:val="auto"/>
          <w:sz w:val="28"/>
          <w:szCs w:val="28"/>
          <w:highlight w:val="none"/>
        </w:rPr>
        <w:t xml:space="preserve">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注意事项：资格性、符合性证明材料见竞争性磋商文件第四章规定。</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.3 实质性响应的响应性文件是指与竞争性磋商文件的全部条款、条件和规格相符，没有重大偏离；重大负偏离的认定须经竞争性磋商小组三分之二以上同意。</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.4 重大偏离系指供应商货物的技术指标、数量和交货期限等明显不能满足竞争性磋商文件的要求，或者实质上与竞争性磋商文件不一致，而且限制了采购单位的权利或供应商的义务，纠正这些偏离将对其他实质性响应要求的供应商的竞争地位产生不公正的影响。</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.5如果响应性文件实质上没有响应竞争性磋商文件的要求，将作为无效处理，供应商不得再对响应性文件进行任何修正从而使其响应性文件成为实质上响应的文件；</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.6 竞争性磋商小组审定响应性文件的响应性只根据响应性文件本身的内容而不寻求外部证据。</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.7凡有下列情况之一的，其响应性文件也被视为未实质性响应竞争性磋商文件，按照无效处理（不再参加竞争性磋商）：</w:t>
      </w:r>
    </w:p>
    <w:p>
      <w:pPr>
        <w:keepNext w:val="0"/>
        <w:keepLines w:val="0"/>
        <w:pageBreakBefore w:val="0"/>
        <w:kinsoku/>
        <w:wordWrap/>
        <w:overflowPunct/>
        <w:topLinePunct w:val="0"/>
        <w:bidi w:val="0"/>
        <w:snapToGrid/>
        <w:spacing w:line="56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.7.1</w:t>
      </w:r>
      <w:r>
        <w:rPr>
          <w:rFonts w:hint="eastAsia" w:ascii="仿宋_GB2312" w:hAnsi="宋体" w:eastAsia="仿宋_GB2312"/>
          <w:b/>
          <w:bCs/>
          <w:color w:val="auto"/>
          <w:sz w:val="28"/>
          <w:szCs w:val="28"/>
          <w:highlight w:val="none"/>
          <w:lang w:val="en-US" w:eastAsia="zh-CN"/>
        </w:rPr>
        <w:t>响应性</w:t>
      </w:r>
      <w:r>
        <w:rPr>
          <w:rFonts w:hint="eastAsia" w:ascii="仿宋_GB2312" w:hAnsi="宋体" w:eastAsia="仿宋_GB2312"/>
          <w:b/>
          <w:bCs/>
          <w:color w:val="auto"/>
          <w:sz w:val="28"/>
          <w:szCs w:val="28"/>
          <w:highlight w:val="none"/>
        </w:rPr>
        <w:t>文件制作机器码一致的</w:t>
      </w:r>
      <w:r>
        <w:rPr>
          <w:rFonts w:hint="eastAsia" w:ascii="仿宋_GB2312" w:hAnsi="宋体" w:eastAsia="仿宋_GB2312"/>
          <w:b/>
          <w:bCs/>
          <w:color w:val="auto"/>
          <w:sz w:val="28"/>
          <w:szCs w:val="28"/>
          <w:highlight w:val="none"/>
          <w:lang w:val="en-US" w:eastAsia="zh-CN"/>
        </w:rPr>
        <w:t>;</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21.7.2</w:t>
      </w:r>
      <w:r>
        <w:rPr>
          <w:rFonts w:hint="eastAsia" w:ascii="仿宋_GB2312" w:hAnsi="仿宋_GB2312" w:eastAsia="仿宋_GB2312" w:cs="仿宋_GB2312"/>
          <w:b/>
          <w:bCs/>
          <w:color w:val="auto"/>
          <w:sz w:val="28"/>
          <w:szCs w:val="28"/>
          <w:highlight w:val="none"/>
        </w:rPr>
        <w:t>未按竞争性磋商文件规定要求</w:t>
      </w:r>
      <w:r>
        <w:rPr>
          <w:rFonts w:hint="eastAsia" w:ascii="仿宋_GB2312" w:hAnsi="仿宋_GB2312" w:eastAsia="仿宋_GB2312" w:cs="仿宋_GB2312"/>
          <w:b/>
          <w:bCs/>
          <w:color w:val="auto"/>
          <w:sz w:val="28"/>
          <w:szCs w:val="28"/>
          <w:highlight w:val="none"/>
          <w:lang w:val="zh-CN"/>
        </w:rPr>
        <w:t>签署、盖章的；</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w:t>
      </w: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资格证明文件不全的，或不符合竞争性磋商文件中规定的资格要求的；</w:t>
      </w:r>
    </w:p>
    <w:p>
      <w:pPr>
        <w:keepNext w:val="0"/>
        <w:keepLines w:val="0"/>
        <w:pageBreakBefore w:val="0"/>
        <w:kinsoku/>
        <w:wordWrap/>
        <w:overflowPunct/>
        <w:topLinePunct w:val="0"/>
        <w:bidi w:val="0"/>
        <w:snapToGrid/>
        <w:spacing w:line="560" w:lineRule="exact"/>
        <w:ind w:left="596" w:leftChars="284" w:firstLine="0" w:firstLineChars="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w:t>
      </w: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rPr>
        <w:t xml:space="preserve"> 不符合竞争性磋商文件规定的实质性要求的；</w:t>
      </w:r>
    </w:p>
    <w:p>
      <w:pPr>
        <w:keepNext w:val="0"/>
        <w:keepLines w:val="0"/>
        <w:pageBreakBefore w:val="0"/>
        <w:kinsoku/>
        <w:wordWrap/>
        <w:overflowPunct/>
        <w:topLinePunct w:val="0"/>
        <w:bidi w:val="0"/>
        <w:snapToGrid/>
        <w:spacing w:line="560" w:lineRule="exact"/>
        <w:ind w:left="596" w:leftChars="284" w:firstLine="0" w:firstLineChars="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.7.5响应性文件内容不齐全或内容虚假的；</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.7.6响应性文件的实质性内容未使用中文表述；</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.7.7 响应性文件的内容修改处未按规定签名或盖章的；</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.7.8违反法律、行政法规、竞争性磋商文件规定的其他情形的。</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.8 在评审过程中，竞争性磋商小组发现供应商有下列情形之一的，视为供应商相互串通，按照无效处理并依据法律、法规追究其相关责任。具体表现形式如下：</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.8.1 不同供应商的响应性文件互相混装的；</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.8.2 不同供应商授权同一人作为供应商委托代理人的；</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.8.3不同供应商的响应性文件载明的项目管理成员为同一人的；</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.8.4有证据证明供应商与采购人、采购机构或者其他供应商串通的其他情形；</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21.8.5 竞争性磋商小组认定的其他串通情形。</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.响应性文件的澄清</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.2竞争性磋商小组要求供应商澄清、说明或者更正响应文件</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应当</w:t>
      </w:r>
      <w:r>
        <w:rPr>
          <w:rFonts w:hint="eastAsia" w:ascii="仿宋_GB2312" w:hAnsi="仿宋_GB2312" w:eastAsia="仿宋_GB2312" w:cs="仿宋_GB2312"/>
          <w:color w:val="auto"/>
          <w:sz w:val="28"/>
          <w:szCs w:val="28"/>
          <w:highlight w:val="none"/>
          <w:lang w:val="zh-CN" w:eastAsia="zh-CN"/>
        </w:rPr>
        <w:t>在焦作市公共资源交易平台</w:t>
      </w:r>
      <w:r>
        <w:rPr>
          <w:rFonts w:hint="eastAsia" w:ascii="仿宋_GB2312" w:hAnsi="仿宋_GB2312" w:eastAsia="仿宋_GB2312" w:cs="仿宋_GB2312"/>
          <w:color w:val="auto"/>
          <w:sz w:val="28"/>
          <w:szCs w:val="28"/>
          <w:highlight w:val="none"/>
          <w:lang w:val="en-US" w:eastAsia="zh-CN"/>
        </w:rPr>
        <w:t>系统</w:t>
      </w:r>
      <w:r>
        <w:rPr>
          <w:rFonts w:hint="eastAsia" w:ascii="仿宋_GB2312" w:hAnsi="仿宋_GB2312" w:eastAsia="仿宋_GB2312" w:cs="仿宋_GB2312"/>
          <w:color w:val="auto"/>
          <w:sz w:val="28"/>
          <w:szCs w:val="28"/>
          <w:highlight w:val="none"/>
          <w:lang w:val="zh-CN" w:eastAsia="zh-CN"/>
        </w:rPr>
        <w:t>进行</w:t>
      </w:r>
      <w:r>
        <w:rPr>
          <w:rFonts w:hint="eastAsia" w:ascii="仿宋_GB2312" w:hAnsi="仿宋_GB2312" w:eastAsia="仿宋_GB2312" w:cs="仿宋_GB2312"/>
          <w:color w:val="auto"/>
          <w:sz w:val="28"/>
          <w:szCs w:val="28"/>
          <w:highlight w:val="none"/>
        </w:rPr>
        <w:t>澄清、说明或者更正。</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.3供应商拒不进行澄清、说明、补正的，或者不能在竞争性磋商小组规定时间内作出澄清、说明、补正的，其响应性文件将被作为无效处理。</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.4供应商的澄清材料作为响应性文件的补充。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 xml:space="preserve">.5 竞争性磋商小组不得接受供应商主动提出的澄清和解释。 </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.6 并非每个供应商都将被询问、澄清。</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.竞争性磋商</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.1 </w:t>
      </w:r>
      <w:r>
        <w:rPr>
          <w:rFonts w:hint="eastAsia" w:ascii="仿宋_GB2312" w:hAnsi="仿宋_GB2312" w:eastAsia="仿宋_GB2312" w:cs="仿宋_GB2312"/>
          <w:color w:val="auto"/>
          <w:sz w:val="28"/>
          <w:szCs w:val="28"/>
          <w:highlight w:val="none"/>
          <w:u w:val="single"/>
        </w:rPr>
        <w:t>资格性审查和符合性审查合格的供应商，将进入本次竞争性磋商程序</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.2竞争性磋商将按照供应商的签到顺序进行。</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.3磋商内容包括：</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.3.1按照竞争性磋商文件中商务部分的内容，对照供应商提交的响应文件逐一进行比较各项指标和要求。</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.3.2按照竞争性磋商文件中技术部分的内容，对照供应商提交的响应文件逐一进行比较各项指标和要求。</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.3.3按照竞争性磋商文件中合同条款部分的内容，对照供应商提交的响应文件逐一进行比较各项指标和要求。</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3.4在磋商中，磋商的任何一方不得透露与磋商有关的其他供应商的技术资料、价格和其他信息。磋商结束后，磋商小组可以要求所有参加磋商的供应商在规定时间内进行最后报价（各供应商应对其磋商代表进行相应授权，并做好在当天规定时间内完成有关澄清、磋商和最后报价的准备工作）。</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 xml:space="preserve">.4 </w:t>
      </w:r>
      <w:r>
        <w:rPr>
          <w:rFonts w:hint="eastAsia" w:ascii="仿宋_GB2312" w:hAnsi="仿宋_GB2312" w:eastAsia="仿宋_GB2312" w:cs="仿宋_GB2312"/>
          <w:color w:val="auto"/>
          <w:sz w:val="28"/>
          <w:szCs w:val="28"/>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.4.1</w:t>
      </w:r>
      <w:r>
        <w:rPr>
          <w:rFonts w:hint="eastAsia" w:ascii="仿宋_GB2312" w:hAnsi="仿宋_GB2312" w:eastAsia="仿宋_GB2312" w:cs="仿宋_GB2312"/>
          <w:color w:val="auto"/>
          <w:sz w:val="28"/>
          <w:szCs w:val="28"/>
          <w:highlight w:val="none"/>
          <w:lang w:val="zh-CN"/>
        </w:rPr>
        <w:t>对竞争性磋商文件作出实质性变动是竞争性磋商文件的有效组成部分，竞争性磋商小组应当及时通知所有参加竞争性磋商的供应商。</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.4.2</w:t>
      </w:r>
      <w:r>
        <w:rPr>
          <w:rFonts w:hint="eastAsia" w:ascii="仿宋_GB2312" w:hAnsi="仿宋_GB2312" w:eastAsia="仿宋_GB2312" w:cs="仿宋_GB2312"/>
          <w:color w:val="auto"/>
          <w:sz w:val="28"/>
          <w:szCs w:val="28"/>
          <w:highlight w:val="none"/>
          <w:lang w:val="zh-CN"/>
        </w:rPr>
        <w:t>供应商应当按照竞争性磋商文件的变动情况和竞争性磋商小组的要求重新提交响应性文件，并由其法定代表人或授权代表签字或者加盖公章。</w:t>
      </w:r>
    </w:p>
    <w:p>
      <w:pPr>
        <w:keepNext w:val="0"/>
        <w:keepLines w:val="0"/>
        <w:pageBreakBefore w:val="0"/>
        <w:tabs>
          <w:tab w:val="left" w:pos="1620"/>
        </w:tabs>
        <w:kinsoku/>
        <w:wordWrap/>
        <w:topLinePunct w:val="0"/>
        <w:bidi w:val="0"/>
        <w:spacing w:line="560" w:lineRule="exact"/>
        <w:ind w:firstLine="560" w:firstLineChars="200"/>
        <w:jc w:val="both"/>
        <w:rPr>
          <w:rFonts w:hint="eastAsia" w:ascii="仿宋_GB2312" w:eastAsia="仿宋_GB2312"/>
          <w:b/>
          <w:bCs/>
          <w:color w:val="auto"/>
          <w:sz w:val="28"/>
          <w:szCs w:val="28"/>
          <w:lang w:val="en-US" w:eastAsia="zh-CN"/>
        </w:rPr>
      </w:pPr>
      <w:r>
        <w:rPr>
          <w:rFonts w:hint="eastAsia" w:ascii="仿宋_GB2312" w:hAnsi="仿宋_GB2312" w:eastAsia="仿宋_GB2312" w:cs="仿宋_GB2312"/>
          <w:color w:val="auto"/>
          <w:sz w:val="28"/>
          <w:szCs w:val="28"/>
          <w:highlight w:val="none"/>
          <w:lang w:val="zh-CN"/>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.5本次竞争性磋商进行2轮次报价。</w:t>
      </w:r>
      <w:r>
        <w:rPr>
          <w:rFonts w:hint="eastAsia" w:ascii="仿宋_GB2312" w:hAnsi="仿宋_GB2312" w:eastAsia="仿宋_GB2312" w:cs="仿宋_GB2312"/>
          <w:color w:val="auto"/>
          <w:sz w:val="28"/>
          <w:szCs w:val="28"/>
          <w:highlight w:val="none"/>
          <w:lang w:val="zh-CN" w:eastAsia="zh-CN"/>
        </w:rPr>
        <w:t>磋商</w:t>
      </w:r>
      <w:r>
        <w:rPr>
          <w:rFonts w:hint="eastAsia" w:ascii="仿宋_GB2312" w:hAnsi="仿宋_GB2312" w:eastAsia="仿宋_GB2312" w:cs="仿宋_GB2312"/>
          <w:color w:val="auto"/>
          <w:sz w:val="28"/>
          <w:szCs w:val="28"/>
          <w:highlight w:val="none"/>
          <w:lang w:val="zh-CN"/>
        </w:rPr>
        <w:t>小组可根据</w:t>
      </w:r>
      <w:r>
        <w:rPr>
          <w:rFonts w:hint="eastAsia" w:ascii="仿宋_GB2312" w:hAnsi="仿宋_GB2312" w:eastAsia="仿宋_GB2312" w:cs="仿宋_GB2312"/>
          <w:color w:val="auto"/>
          <w:sz w:val="28"/>
          <w:szCs w:val="28"/>
          <w:highlight w:val="none"/>
          <w:lang w:val="zh-CN" w:eastAsia="zh-CN"/>
        </w:rPr>
        <w:t>磋商</w:t>
      </w:r>
      <w:r>
        <w:rPr>
          <w:rFonts w:hint="eastAsia" w:ascii="仿宋_GB2312" w:hAnsi="仿宋_GB2312" w:eastAsia="仿宋_GB2312" w:cs="仿宋_GB2312"/>
          <w:color w:val="auto"/>
          <w:sz w:val="28"/>
          <w:szCs w:val="28"/>
          <w:highlight w:val="none"/>
          <w:lang w:val="zh-CN"/>
        </w:rPr>
        <w:t>情况增加</w:t>
      </w:r>
      <w:r>
        <w:rPr>
          <w:rFonts w:hint="eastAsia" w:ascii="仿宋_GB2312" w:hAnsi="仿宋_GB2312" w:eastAsia="仿宋_GB2312" w:cs="仿宋_GB2312"/>
          <w:color w:val="auto"/>
          <w:sz w:val="28"/>
          <w:szCs w:val="28"/>
          <w:highlight w:val="none"/>
          <w:lang w:val="zh-CN" w:eastAsia="zh-CN"/>
        </w:rPr>
        <w:t>磋商</w:t>
      </w:r>
      <w:r>
        <w:rPr>
          <w:rFonts w:hint="eastAsia" w:ascii="仿宋_GB2312" w:hAnsi="仿宋_GB2312" w:eastAsia="仿宋_GB2312" w:cs="仿宋_GB2312"/>
          <w:color w:val="auto"/>
          <w:sz w:val="28"/>
          <w:szCs w:val="28"/>
          <w:highlight w:val="none"/>
          <w:lang w:val="zh-CN"/>
        </w:rPr>
        <w:t>轮数（不超过3轮次），但应给予所有参加</w:t>
      </w:r>
      <w:r>
        <w:rPr>
          <w:rFonts w:hint="eastAsia" w:ascii="仿宋_GB2312" w:hAnsi="仿宋_GB2312" w:eastAsia="仿宋_GB2312" w:cs="仿宋_GB2312"/>
          <w:color w:val="auto"/>
          <w:sz w:val="28"/>
          <w:szCs w:val="28"/>
          <w:highlight w:val="none"/>
          <w:lang w:val="zh-CN" w:eastAsia="zh-CN"/>
        </w:rPr>
        <w:t>磋商</w:t>
      </w:r>
      <w:r>
        <w:rPr>
          <w:rFonts w:hint="eastAsia" w:ascii="仿宋_GB2312" w:hAnsi="仿宋_GB2312" w:eastAsia="仿宋_GB2312" w:cs="仿宋_GB2312"/>
          <w:color w:val="auto"/>
          <w:sz w:val="28"/>
          <w:szCs w:val="28"/>
          <w:highlight w:val="none"/>
          <w:lang w:val="zh-CN"/>
        </w:rPr>
        <w:t>的供应商平等的</w:t>
      </w:r>
      <w:r>
        <w:rPr>
          <w:rFonts w:hint="eastAsia" w:ascii="仿宋_GB2312" w:hAnsi="仿宋_GB2312" w:eastAsia="仿宋_GB2312" w:cs="仿宋_GB2312"/>
          <w:color w:val="auto"/>
          <w:sz w:val="28"/>
          <w:szCs w:val="28"/>
          <w:highlight w:val="none"/>
          <w:lang w:val="zh-CN" w:eastAsia="zh-CN"/>
        </w:rPr>
        <w:t>磋商</w:t>
      </w:r>
      <w:r>
        <w:rPr>
          <w:rFonts w:hint="eastAsia" w:ascii="仿宋_GB2312" w:hAnsi="仿宋_GB2312" w:eastAsia="仿宋_GB2312" w:cs="仿宋_GB2312"/>
          <w:color w:val="auto"/>
          <w:sz w:val="28"/>
          <w:szCs w:val="28"/>
          <w:highlight w:val="none"/>
          <w:lang w:val="zh-CN"/>
        </w:rPr>
        <w:t>机会。响应性文件中报价为第一轮次报价，以后轮次报价不得高于上一轮次报价（除竞争性磋商文件有实质性变动外），否则将被视为未实质性响应竞争性磋商文件。供应商应当对竞争性磋商的每轮次报价</w:t>
      </w:r>
      <w:r>
        <w:rPr>
          <w:rFonts w:hint="eastAsia" w:ascii="仿宋_GB2312" w:hAnsi="仿宋_GB2312" w:eastAsia="仿宋_GB2312" w:cs="仿宋_GB2312"/>
          <w:color w:val="auto"/>
          <w:sz w:val="28"/>
          <w:szCs w:val="28"/>
          <w:highlight w:val="none"/>
          <w:lang w:val="zh-CN" w:eastAsia="zh-CN"/>
        </w:rPr>
        <w:t>在焦作市公共资源交易平台</w:t>
      </w:r>
      <w:r>
        <w:rPr>
          <w:rFonts w:hint="eastAsia" w:ascii="仿宋_GB2312" w:hAnsi="仿宋_GB2312" w:eastAsia="仿宋_GB2312" w:cs="仿宋_GB2312"/>
          <w:color w:val="auto"/>
          <w:sz w:val="28"/>
          <w:szCs w:val="28"/>
          <w:highlight w:val="none"/>
          <w:lang w:val="en-US" w:eastAsia="zh-CN"/>
        </w:rPr>
        <w:t>系统</w:t>
      </w:r>
      <w:r>
        <w:rPr>
          <w:rFonts w:hint="eastAsia" w:ascii="仿宋_GB2312" w:hAnsi="仿宋_GB2312" w:eastAsia="仿宋_GB2312" w:cs="仿宋_GB2312"/>
          <w:color w:val="auto"/>
          <w:sz w:val="28"/>
          <w:szCs w:val="28"/>
          <w:highlight w:val="none"/>
          <w:lang w:val="zh-CN" w:eastAsia="zh-CN"/>
        </w:rPr>
        <w:t>进行</w:t>
      </w:r>
      <w:r>
        <w:rPr>
          <w:rFonts w:hint="eastAsia" w:ascii="仿宋_GB2312" w:hAnsi="仿宋_GB2312" w:eastAsia="仿宋_GB2312" w:cs="仿宋_GB2312"/>
          <w:color w:val="auto"/>
          <w:sz w:val="28"/>
          <w:szCs w:val="28"/>
          <w:highlight w:val="none"/>
          <w:lang w:val="en-US" w:eastAsia="zh-CN"/>
        </w:rPr>
        <w:t>签章</w:t>
      </w:r>
      <w:r>
        <w:rPr>
          <w:rFonts w:hint="eastAsia" w:ascii="仿宋_GB2312" w:hAnsi="仿宋_GB2312" w:eastAsia="仿宋_GB2312" w:cs="仿宋_GB2312"/>
          <w:color w:val="auto"/>
          <w:sz w:val="28"/>
          <w:szCs w:val="28"/>
          <w:highlight w:val="none"/>
          <w:lang w:val="zh-CN" w:eastAsia="zh-CN"/>
        </w:rPr>
        <w:t>确认</w:t>
      </w:r>
      <w:r>
        <w:rPr>
          <w:rFonts w:hint="eastAsia" w:ascii="仿宋_GB2312" w:hAnsi="仿宋_GB2312" w:eastAsia="仿宋_GB2312" w:cs="仿宋_GB2312"/>
          <w:color w:val="auto"/>
          <w:sz w:val="28"/>
          <w:szCs w:val="28"/>
          <w:highlight w:val="none"/>
          <w:lang w:val="zh-CN"/>
        </w:rPr>
        <w:t>，在规定的时限内</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lang w:val="zh-CN"/>
        </w:rPr>
        <w:t>给竞争性磋商小组，竞争性磋商报价以供应商的最后一轮次报价为准。</w:t>
      </w:r>
      <w:r>
        <w:rPr>
          <w:rFonts w:hint="eastAsia" w:ascii="仿宋_GB2312" w:hAnsi="仿宋_GB2312" w:eastAsia="仿宋_GB2312" w:cs="仿宋_GB2312"/>
          <w:b/>
          <w:bCs/>
          <w:color w:val="auto"/>
          <w:sz w:val="28"/>
          <w:szCs w:val="28"/>
          <w:highlight w:val="none"/>
          <w:lang w:val="en-US" w:eastAsia="zh-CN"/>
        </w:rPr>
        <w:t>未在规定时间提供最后报价，由供应商自行承担相关责任。</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.6竞争性磋商结束后，竞争性磋商小组应当要求所有参加竞争性磋商的供</w:t>
      </w:r>
      <w:r>
        <w:rPr>
          <w:rFonts w:hint="eastAsia" w:ascii="仿宋_GB2312" w:hAnsi="仿宋_GB2312" w:eastAsia="仿宋_GB2312" w:cs="仿宋_GB2312"/>
          <w:color w:val="auto"/>
          <w:sz w:val="28"/>
          <w:szCs w:val="28"/>
          <w:highlight w:val="none"/>
        </w:rPr>
        <w:t>应商在规定的时间内进行最后报价，竞争性磋商报价以供应商的最后报价为准。</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.7磋商小组在磋商过程中，如果认为最后报价最低的供应商报价明显不合理、降低质量、不能诚实履约或其他特殊情形的，应当通知其限期作出说明并</w:t>
      </w:r>
      <w:r>
        <w:rPr>
          <w:rFonts w:hint="eastAsia" w:ascii="仿宋_GB2312" w:hAnsi="仿宋_GB2312" w:eastAsia="仿宋_GB2312" w:cs="仿宋_GB2312"/>
          <w:color w:val="auto"/>
          <w:sz w:val="28"/>
          <w:szCs w:val="28"/>
          <w:highlight w:val="none"/>
          <w:lang w:val="en-US" w:eastAsia="zh-CN"/>
        </w:rPr>
        <w:t>按规定上传</w:t>
      </w:r>
      <w:r>
        <w:rPr>
          <w:rFonts w:hint="eastAsia" w:ascii="仿宋_GB2312" w:hAnsi="仿宋_GB2312" w:eastAsia="仿宋_GB2312" w:cs="仿宋_GB2312"/>
          <w:color w:val="auto"/>
          <w:sz w:val="28"/>
          <w:szCs w:val="28"/>
          <w:highlight w:val="none"/>
        </w:rPr>
        <w:t>相关证明材料；供应商未在规定的期限内作出合理说明并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相关证明材料的，视为自动放弃成交候选供应商资格。</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.8已提交响应性文件的供应商，在提交最后报价之前，可以根据竞争性磋商情况退出竞争性磋商。</w:t>
      </w:r>
    </w:p>
    <w:p>
      <w:pPr>
        <w:keepNext w:val="0"/>
        <w:keepLines w:val="0"/>
        <w:pageBreakBefore w:val="0"/>
        <w:kinsoku/>
        <w:wordWrap/>
        <w:overflowPunct/>
        <w:topLinePunct w:val="0"/>
        <w:bidi w:val="0"/>
        <w:snapToGrid/>
        <w:spacing w:line="56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六、评定标准</w:t>
      </w:r>
    </w:p>
    <w:p>
      <w:pPr>
        <w:keepNext w:val="0"/>
        <w:keepLines w:val="0"/>
        <w:pageBreakBefore w:val="0"/>
        <w:kinsoku/>
        <w:wordWrap/>
        <w:overflowPunct/>
        <w:topLinePunct w:val="0"/>
        <w:bidi w:val="0"/>
        <w:snapToGrid/>
        <w:spacing w:line="560" w:lineRule="exact"/>
        <w:ind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4</w:t>
      </w:r>
      <w:r>
        <w:rPr>
          <w:rFonts w:hint="eastAsia" w:ascii="仿宋_GB2312" w:hAnsi="仿宋_GB2312" w:eastAsia="仿宋_GB2312" w:cs="仿宋_GB2312"/>
          <w:b/>
          <w:color w:val="auto"/>
          <w:sz w:val="28"/>
          <w:szCs w:val="28"/>
          <w:highlight w:val="none"/>
        </w:rPr>
        <w:t>.竞争性磋商过程及保密原则</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bidi w:val="0"/>
        <w:snapToGrid/>
        <w:spacing w:line="560" w:lineRule="exact"/>
        <w:ind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.2综合评分法，是指相应文件满足磋商文件全部实质性要求且按评审因素的量化指标评审得分最高的供应商为成交候选供应商的评审方法。</w:t>
      </w:r>
    </w:p>
    <w:p>
      <w:pPr>
        <w:pStyle w:val="74"/>
        <w:keepNext w:val="0"/>
        <w:keepLines w:val="0"/>
        <w:pageBreakBefore w:val="0"/>
        <w:tabs>
          <w:tab w:val="left" w:pos="-900"/>
          <w:tab w:val="clear" w:pos="709"/>
        </w:tabs>
        <w:kinsoku/>
        <w:wordWrap/>
        <w:overflowPunct/>
        <w:topLinePunct w:val="0"/>
        <w:bidi w:val="0"/>
        <w:snapToGrid/>
        <w:spacing w:line="560" w:lineRule="exact"/>
        <w:ind w:left="0" w:firstLine="560" w:firstLineChars="200"/>
        <w:textAlignment w:val="auto"/>
        <w:rPr>
          <w:rFonts w:ascii="仿宋_GB2312" w:eastAsia="仿宋_GB2312"/>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 xml:space="preserve">.3 </w:t>
      </w:r>
      <w:r>
        <w:rPr>
          <w:rFonts w:hint="eastAsia" w:ascii="仿宋_GB2312" w:eastAsia="仿宋_GB2312"/>
          <w:color w:val="auto"/>
          <w:sz w:val="28"/>
          <w:szCs w:val="28"/>
          <w:highlight w:val="none"/>
        </w:rPr>
        <w:t>本项目采用综合评分法，总分为</w:t>
      </w:r>
      <w:r>
        <w:rPr>
          <w:rFonts w:hint="eastAsia" w:ascii="仿宋_GB2312" w:eastAsia="仿宋_GB2312"/>
          <w:color w:val="auto"/>
          <w:sz w:val="28"/>
          <w:szCs w:val="28"/>
          <w:highlight w:val="none"/>
          <w:u w:val="single"/>
        </w:rPr>
        <w:t>100</w:t>
      </w:r>
      <w:r>
        <w:rPr>
          <w:rFonts w:hint="eastAsia" w:ascii="仿宋_GB2312" w:eastAsia="仿宋_GB2312"/>
          <w:color w:val="auto"/>
          <w:sz w:val="28"/>
          <w:szCs w:val="28"/>
          <w:highlight w:val="none"/>
        </w:rPr>
        <w:t>分。</w:t>
      </w:r>
    </w:p>
    <w:p>
      <w:pPr>
        <w:pStyle w:val="74"/>
        <w:keepNext w:val="0"/>
        <w:keepLines w:val="0"/>
        <w:pageBreakBefore w:val="0"/>
        <w:tabs>
          <w:tab w:val="left" w:pos="-900"/>
          <w:tab w:val="clear" w:pos="709"/>
        </w:tabs>
        <w:kinsoku/>
        <w:wordWrap/>
        <w:overflowPunct/>
        <w:topLinePunct w:val="0"/>
        <w:bidi w:val="0"/>
        <w:snapToGrid/>
        <w:spacing w:line="560" w:lineRule="exact"/>
        <w:ind w:left="0" w:firstLine="560" w:firstLineChars="200"/>
        <w:textAlignment w:val="auto"/>
        <w:rPr>
          <w:rFonts w:hint="eastAsia" w:ascii="仿宋_GB2312" w:hAnsi="宋体" w:eastAsia="仿宋_GB2312" w:cs="Times New Roman"/>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.4</w:t>
      </w:r>
      <w:r>
        <w:rPr>
          <w:rFonts w:hint="eastAsia" w:ascii="仿宋_GB2312" w:hAnsi="宋体" w:eastAsia="仿宋_GB2312" w:cs="Times New Roman"/>
          <w:color w:val="auto"/>
          <w:sz w:val="28"/>
          <w:szCs w:val="28"/>
          <w:highlight w:val="none"/>
        </w:rPr>
        <w:t xml:space="preserve">评分标准和内容  </w:t>
      </w:r>
    </w:p>
    <w:tbl>
      <w:tblPr>
        <w:tblStyle w:val="28"/>
        <w:tblpPr w:leftFromText="180" w:rightFromText="180" w:vertAnchor="text" w:horzAnchor="page" w:tblpX="1835" w:tblpY="157"/>
        <w:tblOverlap w:val="never"/>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82"/>
        <w:gridCol w:w="747"/>
        <w:gridCol w:w="658"/>
        <w:gridCol w:w="663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9" w:hRule="atLeast"/>
        </w:trPr>
        <w:tc>
          <w:tcPr>
            <w:tcW w:w="283" w:type="pct"/>
            <w:tcBorders>
              <w:bottom w:val="single" w:color="auto"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类别</w:t>
            </w:r>
          </w:p>
        </w:tc>
        <w:tc>
          <w:tcPr>
            <w:tcW w:w="438" w:type="pct"/>
            <w:tcBorders>
              <w:left w:val="nil"/>
              <w:bottom w:val="single" w:color="auto"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评分项目</w:t>
            </w:r>
          </w:p>
        </w:tc>
        <w:tc>
          <w:tcPr>
            <w:tcW w:w="386" w:type="pct"/>
            <w:tcBorders>
              <w:left w:val="nil"/>
              <w:bottom w:val="single" w:color="auto"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分值</w:t>
            </w:r>
          </w:p>
        </w:tc>
        <w:tc>
          <w:tcPr>
            <w:tcW w:w="3892" w:type="pct"/>
            <w:tcBorders>
              <w:left w:val="nil"/>
              <w:bottom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评分依据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5000" w:type="pct"/>
            <w:gridSpan w:val="4"/>
            <w:tcBorders>
              <w:top w:val="single" w:color="auto" w:sz="8" w:space="0"/>
              <w:bottom w:val="single" w:color="auto" w:sz="8" w:space="0"/>
            </w:tcBorders>
            <w:vAlign w:val="center"/>
          </w:tcPr>
          <w:p>
            <w:pPr>
              <w:widowControl/>
              <w:rPr>
                <w:rFonts w:ascii="宋体" w:hAnsi="宋体" w:cs="宋体"/>
                <w:b/>
                <w:bCs/>
                <w:color w:val="auto"/>
                <w:kern w:val="0"/>
                <w:szCs w:val="21"/>
              </w:rPr>
            </w:pPr>
            <w:r>
              <w:rPr>
                <w:rFonts w:hint="eastAsia" w:ascii="宋体" w:hAnsi="宋体" w:cs="宋体"/>
                <w:b/>
                <w:bCs/>
                <w:color w:val="auto"/>
                <w:kern w:val="0"/>
                <w:szCs w:val="21"/>
              </w:rPr>
              <w:t>一、报价（</w:t>
            </w:r>
            <w:r>
              <w:rPr>
                <w:rFonts w:hint="eastAsia" w:ascii="宋体" w:hAnsi="宋体" w:cs="宋体"/>
                <w:b/>
                <w:bCs/>
                <w:color w:val="auto"/>
                <w:kern w:val="0"/>
                <w:szCs w:val="21"/>
                <w:lang w:val="en-US" w:eastAsia="zh-CN"/>
              </w:rPr>
              <w:t>3</w:t>
            </w:r>
            <w:r>
              <w:rPr>
                <w:rFonts w:hint="eastAsia" w:ascii="宋体" w:hAnsi="宋体" w:cs="宋体"/>
                <w:b/>
                <w:bCs/>
                <w:color w:val="auto"/>
                <w:kern w:val="0"/>
                <w:szCs w:val="21"/>
              </w:rPr>
              <w:t>0分）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09" w:hRule="atLeast"/>
        </w:trPr>
        <w:tc>
          <w:tcPr>
            <w:tcW w:w="283" w:type="pct"/>
            <w:tcBorders>
              <w:top w:val="nil"/>
              <w:bottom w:val="single" w:color="000000"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w:t>
            </w:r>
          </w:p>
        </w:tc>
        <w:tc>
          <w:tcPr>
            <w:tcW w:w="438" w:type="pc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报价</w:t>
            </w:r>
          </w:p>
        </w:tc>
        <w:tc>
          <w:tcPr>
            <w:tcW w:w="386" w:type="pc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30</w:t>
            </w:r>
          </w:p>
        </w:tc>
        <w:tc>
          <w:tcPr>
            <w:tcW w:w="3892" w:type="pct"/>
            <w:tcBorders>
              <w:top w:val="nil"/>
              <w:left w:val="nil"/>
              <w:bottom w:val="single" w:color="auto" w:sz="8" w:space="0"/>
            </w:tcBorders>
            <w:vAlign w:val="center"/>
          </w:tcPr>
          <w:p>
            <w:pPr>
              <w:widowControl/>
              <w:rPr>
                <w:rFonts w:hint="default" w:ascii="宋体" w:hAnsi="宋体" w:cs="宋体"/>
                <w:color w:val="auto"/>
                <w:kern w:val="0"/>
                <w:szCs w:val="21"/>
                <w:lang w:val="en-US" w:eastAsia="zh-CN"/>
              </w:rPr>
            </w:pPr>
            <w:r>
              <w:rPr>
                <w:rFonts w:hint="default" w:ascii="宋体" w:hAnsi="宋体" w:cs="宋体"/>
                <w:color w:val="auto"/>
                <w:kern w:val="0"/>
                <w:szCs w:val="21"/>
                <w:lang w:val="en-US" w:eastAsia="zh-CN"/>
              </w:rPr>
              <w:t>价格分统一采用低价优先法计算，即满足磋商文件资格性和符合性要求且最后报价最低的供应商的价格为磋商基准价，其价格分为满分30分。</w:t>
            </w:r>
          </w:p>
          <w:p>
            <w:pPr>
              <w:widowControl/>
              <w:rPr>
                <w:rFonts w:hint="default" w:ascii="宋体" w:hAnsi="宋体" w:cs="宋体"/>
                <w:color w:val="auto"/>
                <w:kern w:val="0"/>
                <w:szCs w:val="21"/>
                <w:lang w:val="en-US" w:eastAsia="zh-CN"/>
              </w:rPr>
            </w:pPr>
            <w:r>
              <w:rPr>
                <w:rFonts w:hint="default" w:ascii="宋体" w:hAnsi="宋体" w:cs="宋体"/>
                <w:color w:val="auto"/>
                <w:kern w:val="0"/>
                <w:szCs w:val="21"/>
                <w:lang w:val="en-US" w:eastAsia="zh-CN"/>
              </w:rPr>
              <w:t>其他供应商的价格分统一按照下列公式计算：</w:t>
            </w:r>
          </w:p>
          <w:p>
            <w:pPr>
              <w:widowControl/>
              <w:rPr>
                <w:rFonts w:ascii="宋体" w:hAnsi="宋体" w:cs="宋体"/>
                <w:color w:val="auto"/>
                <w:kern w:val="0"/>
                <w:szCs w:val="21"/>
              </w:rPr>
            </w:pPr>
            <w:r>
              <w:rPr>
                <w:rFonts w:hint="default" w:ascii="宋体" w:hAnsi="宋体" w:cs="宋体"/>
                <w:color w:val="auto"/>
                <w:kern w:val="0"/>
                <w:szCs w:val="21"/>
                <w:lang w:val="en-US" w:eastAsia="zh-CN"/>
              </w:rPr>
              <w:t>磋商报价得分=(磋商基准价／最后磋商报价)×30，计算过程按四舍五入，保留两位小数。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5000" w:type="pct"/>
            <w:gridSpan w:val="4"/>
            <w:tcBorders>
              <w:top w:val="single" w:color="auto" w:sz="8" w:space="0"/>
              <w:bottom w:val="single" w:color="auto" w:sz="8" w:space="0"/>
            </w:tcBorders>
            <w:vAlign w:val="center"/>
          </w:tcPr>
          <w:p>
            <w:pPr>
              <w:widowControl/>
              <w:rPr>
                <w:rFonts w:ascii="宋体" w:hAnsi="宋体" w:cs="宋体"/>
                <w:b/>
                <w:bCs/>
                <w:color w:val="auto"/>
                <w:kern w:val="0"/>
                <w:szCs w:val="21"/>
              </w:rPr>
            </w:pPr>
            <w:r>
              <w:rPr>
                <w:rFonts w:hint="eastAsia" w:ascii="宋体" w:hAnsi="宋体" w:cs="宋体"/>
                <w:b/>
                <w:bCs/>
                <w:color w:val="auto"/>
                <w:kern w:val="0"/>
                <w:szCs w:val="21"/>
              </w:rPr>
              <w:t>二、商务部分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trPr>
        <w:tc>
          <w:tcPr>
            <w:tcW w:w="283" w:type="pct"/>
            <w:vMerge w:val="restart"/>
            <w:tcBorders>
              <w:top w:val="nil"/>
              <w:bottom w:val="single" w:color="000000"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2</w:t>
            </w:r>
          </w:p>
        </w:tc>
        <w:tc>
          <w:tcPr>
            <w:tcW w:w="438"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企业相关业绩</w:t>
            </w:r>
          </w:p>
        </w:tc>
        <w:tc>
          <w:tcPr>
            <w:tcW w:w="386" w:type="pct"/>
            <w:vMerge w:val="restart"/>
            <w:tcBorders>
              <w:top w:val="nil"/>
              <w:left w:val="single" w:color="auto" w:sz="8" w:space="0"/>
              <w:bottom w:val="single" w:color="000000" w:sz="8" w:space="0"/>
              <w:right w:val="single" w:color="auto" w:sz="8" w:space="0"/>
            </w:tcBorders>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9</w:t>
            </w:r>
          </w:p>
        </w:tc>
        <w:tc>
          <w:tcPr>
            <w:tcW w:w="3892" w:type="pct"/>
            <w:tcBorders>
              <w:top w:val="nil"/>
              <w:left w:val="nil"/>
              <w:bottom w:val="nil"/>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自201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年1月1日以来，组织实施过与本项目类似业绩。每提供1个合同得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分，最高得</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283" w:type="pct"/>
            <w:vMerge w:val="continue"/>
            <w:tcBorders>
              <w:top w:val="nil"/>
              <w:bottom w:val="single" w:color="000000" w:sz="8" w:space="0"/>
              <w:right w:val="single" w:color="auto" w:sz="8" w:space="0"/>
            </w:tcBorders>
            <w:vAlign w:val="center"/>
          </w:tcPr>
          <w:p>
            <w:pPr>
              <w:widowControl/>
              <w:jc w:val="left"/>
              <w:rPr>
                <w:rFonts w:ascii="宋体" w:hAnsi="宋体" w:cs="宋体"/>
                <w:b/>
                <w:bCs/>
                <w:color w:val="auto"/>
                <w:kern w:val="0"/>
                <w:szCs w:val="21"/>
              </w:rPr>
            </w:pPr>
          </w:p>
        </w:tc>
        <w:tc>
          <w:tcPr>
            <w:tcW w:w="43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auto"/>
                <w:kern w:val="0"/>
                <w:szCs w:val="21"/>
              </w:rPr>
            </w:pPr>
          </w:p>
        </w:tc>
        <w:tc>
          <w:tcPr>
            <w:tcW w:w="386"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auto"/>
                <w:kern w:val="0"/>
                <w:szCs w:val="21"/>
              </w:rPr>
            </w:pPr>
          </w:p>
        </w:tc>
        <w:tc>
          <w:tcPr>
            <w:tcW w:w="3892" w:type="pct"/>
            <w:tcBorders>
              <w:top w:val="nil"/>
              <w:left w:val="nil"/>
              <w:bottom w:val="single" w:color="auto" w:sz="8" w:space="0"/>
            </w:tcBorders>
            <w:vAlign w:val="center"/>
          </w:tcPr>
          <w:p>
            <w:pPr>
              <w:widowControl/>
              <w:rPr>
                <w:rFonts w:ascii="宋体" w:hAnsi="宋体" w:cs="宋体"/>
                <w:color w:val="auto"/>
                <w:kern w:val="0"/>
                <w:szCs w:val="21"/>
              </w:rPr>
            </w:pPr>
            <w:r>
              <w:rPr>
                <w:rFonts w:hint="eastAsia" w:ascii="宋体" w:hAnsi="宋体" w:cs="宋体"/>
                <w:color w:val="auto"/>
                <w:kern w:val="0"/>
                <w:szCs w:val="21"/>
              </w:rPr>
              <w:t>注:以上项目经验业绩均需提供完整合同，业绩扫描不清楚或无法辨认的不予认可，虚假业绩</w:t>
            </w:r>
            <w:r>
              <w:rPr>
                <w:rFonts w:hint="eastAsia" w:ascii="宋体" w:hAnsi="宋体" w:cs="宋体"/>
                <w:color w:val="auto"/>
                <w:kern w:val="0"/>
                <w:szCs w:val="21"/>
                <w:lang w:val="en-US" w:eastAsia="zh-CN"/>
              </w:rPr>
              <w:t>供应商</w:t>
            </w:r>
            <w:r>
              <w:rPr>
                <w:rFonts w:hint="eastAsia" w:ascii="宋体" w:hAnsi="宋体" w:cs="宋体"/>
                <w:color w:val="auto"/>
                <w:kern w:val="0"/>
                <w:szCs w:val="21"/>
              </w:rPr>
              <w:t>自行承担相关责任。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5000" w:type="pct"/>
            <w:gridSpan w:val="4"/>
            <w:tcBorders>
              <w:top w:val="single" w:color="auto" w:sz="8" w:space="0"/>
              <w:bottom w:val="single" w:color="auto" w:sz="8" w:space="0"/>
            </w:tcBorders>
            <w:vAlign w:val="center"/>
          </w:tcPr>
          <w:p>
            <w:pPr>
              <w:widowControl/>
              <w:rPr>
                <w:rFonts w:ascii="宋体" w:hAnsi="宋体" w:cs="宋体"/>
                <w:b/>
                <w:bCs/>
                <w:color w:val="auto"/>
                <w:kern w:val="0"/>
                <w:szCs w:val="21"/>
              </w:rPr>
            </w:pPr>
            <w:r>
              <w:rPr>
                <w:rFonts w:hint="eastAsia" w:ascii="宋体" w:hAnsi="宋体" w:cs="宋体"/>
                <w:b/>
                <w:bCs/>
                <w:color w:val="auto"/>
                <w:kern w:val="0"/>
                <w:szCs w:val="21"/>
              </w:rPr>
              <w:t>三、技术部分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1</w:t>
            </w:r>
          </w:p>
        </w:tc>
        <w:tc>
          <w:tcPr>
            <w:tcW w:w="43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auto"/>
                <w:kern w:val="0"/>
                <w:szCs w:val="21"/>
                <w:lang w:val="en-US" w:eastAsia="zh-CN"/>
              </w:rPr>
            </w:pPr>
            <w:r>
              <w:rPr>
                <w:rFonts w:hint="default" w:ascii="宋体" w:hAnsi="宋体" w:eastAsia="宋体" w:cs="宋体"/>
                <w:b/>
                <w:bCs/>
                <w:color w:val="auto"/>
                <w:kern w:val="0"/>
                <w:szCs w:val="21"/>
                <w:lang w:val="en-US" w:eastAsia="zh-CN"/>
              </w:rPr>
              <w:t>实施方案</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9</w:t>
            </w:r>
          </w:p>
        </w:tc>
        <w:tc>
          <w:tcPr>
            <w:tcW w:w="3892" w:type="pct"/>
            <w:tcBorders>
              <w:top w:val="single" w:color="auto" w:sz="4" w:space="0"/>
              <w:left w:val="single" w:color="auto" w:sz="4" w:space="0"/>
              <w:bottom w:val="single" w:color="auto" w:sz="4" w:space="0"/>
            </w:tcBorders>
            <w:vAlign w:val="center"/>
          </w:tcPr>
          <w:p>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 xml:space="preserve">提供的实施方案充分满足本次采购整体要求且具有可操作性的得 </w:t>
            </w:r>
            <w:r>
              <w:rPr>
                <w:rFonts w:hint="eastAsia" w:ascii="宋体" w:hAnsi="宋体" w:cs="宋体"/>
                <w:color w:val="auto"/>
                <w:kern w:val="0"/>
                <w:szCs w:val="21"/>
                <w:lang w:val="en-US" w:eastAsia="zh-CN"/>
              </w:rPr>
              <w:t>9</w:t>
            </w:r>
          </w:p>
          <w:p>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 xml:space="preserve">分；提供的实施方案基本满足本次采购整体要求且具有可操作性的 </w:t>
            </w:r>
          </w:p>
          <w:p>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 xml:space="preserve">得 </w:t>
            </w:r>
            <w:r>
              <w:rPr>
                <w:rFonts w:hint="eastAsia" w:ascii="宋体" w:hAnsi="宋体" w:cs="宋体"/>
                <w:color w:val="auto"/>
                <w:kern w:val="0"/>
                <w:szCs w:val="21"/>
                <w:lang w:val="en-US" w:eastAsia="zh-CN"/>
              </w:rPr>
              <w:t>7</w:t>
            </w:r>
            <w:r>
              <w:rPr>
                <w:rFonts w:hint="eastAsia" w:ascii="宋体" w:hAnsi="宋体" w:eastAsia="宋体" w:cs="宋体"/>
                <w:color w:val="auto"/>
                <w:kern w:val="0"/>
                <w:szCs w:val="21"/>
                <w:lang w:val="en-US" w:eastAsia="zh-CN"/>
              </w:rPr>
              <w:t xml:space="preserve"> 分；提供的实施方案基本满足本次采购整体要求得 </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 xml:space="preserve">分；提供 </w:t>
            </w:r>
          </w:p>
          <w:p>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 xml:space="preserve">的实施方案合理，但需进一步完善得 </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 xml:space="preserve"> 分；提供的实施方案可行性不强得 </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lang w:val="en-US" w:eastAsia="zh-CN"/>
              </w:rPr>
              <w:t xml:space="preserve"> 分；未提供者不得分。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2</w:t>
            </w:r>
          </w:p>
        </w:tc>
        <w:tc>
          <w:tcPr>
            <w:tcW w:w="43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项目重点 </w:t>
            </w:r>
          </w:p>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难点分析 </w:t>
            </w:r>
          </w:p>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及建议</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10</w:t>
            </w:r>
          </w:p>
        </w:tc>
        <w:tc>
          <w:tcPr>
            <w:tcW w:w="3892" w:type="pct"/>
            <w:tcBorders>
              <w:top w:val="single" w:color="auto" w:sz="4" w:space="0"/>
              <w:left w:val="single" w:color="auto" w:sz="4" w:space="0"/>
              <w:bottom w:val="single" w:color="auto" w:sz="4" w:space="0"/>
            </w:tcBorders>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提供重点、难点分析所建议的解决方案充分满足本次采购整体要求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且具有可操作性的得 10 分；提供重点、难点分析所建议的解决方案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基本满足本次采购整体要求且具有可操作性的得 8 分；提供重点、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难点分析所建议的解决方案基本满足本次采购整体要求得 6 分；提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供重点、难点分析所建议的解决方案合理，但需进一步完善得 4 分；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提供重点、难点分析所建议的解决方案可行性不强得 2 分；未提供者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3</w:t>
            </w:r>
          </w:p>
        </w:tc>
        <w:tc>
          <w:tcPr>
            <w:tcW w:w="43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整体策划 </w:t>
            </w:r>
          </w:p>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方案</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10</w:t>
            </w:r>
          </w:p>
        </w:tc>
        <w:tc>
          <w:tcPr>
            <w:tcW w:w="3892" w:type="pct"/>
            <w:tcBorders>
              <w:top w:val="single" w:color="auto" w:sz="4" w:space="0"/>
              <w:left w:val="single" w:color="auto" w:sz="4" w:space="0"/>
              <w:bottom w:val="single" w:color="auto" w:sz="4" w:space="0"/>
            </w:tcBorders>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对赛事整体规划、项目设置、赛程赛制等内容合理、可行得 10 分；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对赛事整体规划、项目设置、赛程赛制等内容基本满足本次采购整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体要求且具有可操作性的得 8 分；对赛事整体规划、项目设置、赛</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程赛制等内容完善合理得 6 分；对赛事整体规划、项目设置、赛程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赛制等内容合理，但需进一步完善得 4 分；对赛事整体规划、项目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设置、赛程赛制等内容可行性不强得 2 分；未提供不得分。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8"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4</w:t>
            </w:r>
          </w:p>
        </w:tc>
        <w:tc>
          <w:tcPr>
            <w:tcW w:w="438" w:type="pct"/>
            <w:tcBorders>
              <w:top w:val="single" w:color="auto" w:sz="4" w:space="0"/>
              <w:left w:val="single" w:color="auto" w:sz="8" w:space="0"/>
              <w:bottom w:val="single" w:color="auto" w:sz="4" w:space="0"/>
              <w:right w:val="single" w:color="auto" w:sz="8"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宣传方案</w:t>
            </w:r>
          </w:p>
        </w:tc>
        <w:tc>
          <w:tcPr>
            <w:tcW w:w="386" w:type="pct"/>
            <w:tcBorders>
              <w:top w:val="single" w:color="auto" w:sz="4" w:space="0"/>
              <w:left w:val="single" w:color="auto" w:sz="8" w:space="0"/>
              <w:bottom w:val="single" w:color="auto" w:sz="4" w:space="0"/>
              <w:right w:val="single" w:color="auto" w:sz="4" w:space="0"/>
            </w:tcBorders>
            <w:vAlign w:val="center"/>
          </w:tcPr>
          <w:p>
            <w:pPr>
              <w:widowControl/>
              <w:jc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8</w:t>
            </w:r>
          </w:p>
        </w:tc>
        <w:tc>
          <w:tcPr>
            <w:tcW w:w="3892" w:type="pct"/>
            <w:tcBorders>
              <w:top w:val="single" w:color="auto" w:sz="4" w:space="0"/>
              <w:left w:val="single" w:color="auto" w:sz="4" w:space="0"/>
              <w:bottom w:val="single" w:color="auto" w:sz="4" w:space="0"/>
            </w:tcBorders>
            <w:vAlign w:val="center"/>
          </w:tcPr>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针对本次采购需求，提供本次采购荐的宣传方案详细、完整得 8 分； </w:t>
            </w:r>
          </w:p>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方案基本详细、完整得 6 分；方案需要进一步完善的得 4 分；方案 </w:t>
            </w:r>
          </w:p>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不够合理得 2 分；未提供不得分。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8"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5</w:t>
            </w:r>
          </w:p>
        </w:tc>
        <w:tc>
          <w:tcPr>
            <w:tcW w:w="438" w:type="pct"/>
            <w:tcBorders>
              <w:top w:val="single" w:color="auto" w:sz="4" w:space="0"/>
              <w:left w:val="single" w:color="auto" w:sz="8" w:space="0"/>
              <w:bottom w:val="single" w:color="auto" w:sz="4" w:space="0"/>
              <w:right w:val="single" w:color="auto" w:sz="8"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防疫措施</w:t>
            </w:r>
          </w:p>
        </w:tc>
        <w:tc>
          <w:tcPr>
            <w:tcW w:w="386" w:type="pct"/>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8</w:t>
            </w:r>
          </w:p>
        </w:tc>
        <w:tc>
          <w:tcPr>
            <w:tcW w:w="3892" w:type="pct"/>
            <w:tcBorders>
              <w:top w:val="single" w:color="auto" w:sz="4" w:space="0"/>
              <w:left w:val="single" w:color="auto" w:sz="4" w:space="0"/>
              <w:bottom w:val="single" w:color="auto" w:sz="4" w:space="0"/>
            </w:tcBorders>
            <w:vAlign w:val="center"/>
          </w:tcPr>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防疫设备齐全、防疫措施完善科学得 8 分；防疫设备基本齐全、防 </w:t>
            </w:r>
          </w:p>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疫措施完善科学得 6 分；防疫设备基本齐全、防疫措施基本科学， </w:t>
            </w:r>
          </w:p>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但需进一步完善的得 4 分；防疫设备基本齐全、防疫措施基本可行 </w:t>
            </w:r>
          </w:p>
          <w:p>
            <w:pPr>
              <w:keepNext w:val="0"/>
              <w:keepLines w:val="0"/>
              <w:widowControl/>
              <w:suppressLineNumbers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得 2 分；未提供者不得分。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auto" w:sz="4" w:space="0"/>
              <w:right w:val="single" w:color="auto" w:sz="8"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6</w:t>
            </w:r>
          </w:p>
        </w:tc>
        <w:tc>
          <w:tcPr>
            <w:tcW w:w="438" w:type="pct"/>
            <w:tcBorders>
              <w:top w:val="single" w:color="auto" w:sz="4" w:space="0"/>
              <w:left w:val="single" w:color="auto" w:sz="8" w:space="0"/>
              <w:bottom w:val="single" w:color="auto" w:sz="4" w:space="0"/>
              <w:right w:val="single" w:color="auto" w:sz="8"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消防安全 </w:t>
            </w:r>
          </w:p>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保障措施</w:t>
            </w:r>
          </w:p>
        </w:tc>
        <w:tc>
          <w:tcPr>
            <w:tcW w:w="386" w:type="pct"/>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8</w:t>
            </w:r>
          </w:p>
        </w:tc>
        <w:tc>
          <w:tcPr>
            <w:tcW w:w="3892" w:type="pct"/>
            <w:tcBorders>
              <w:top w:val="single" w:color="auto" w:sz="4" w:space="0"/>
              <w:left w:val="single" w:color="auto" w:sz="4" w:space="0"/>
              <w:bottom w:val="single" w:color="auto" w:sz="4" w:space="0"/>
            </w:tcBorders>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消防安全设施完善、保障措施周全得 8 分；消防安全设施基本完善、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保障措施周全得 6 分；消防安全设施、保障措施基本科学，但需进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一步完善的得 4 分；消防安全保障措施基本可行得 2 分，未提供者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70" w:hRule="atLeast"/>
        </w:trPr>
        <w:tc>
          <w:tcPr>
            <w:tcW w:w="283" w:type="pct"/>
            <w:tcBorders>
              <w:top w:val="single" w:color="auto" w:sz="4" w:space="0"/>
              <w:bottom w:val="single" w:color="000000" w:sz="8" w:space="0"/>
              <w:right w:val="single" w:color="auto" w:sz="8" w:space="0"/>
            </w:tcBorders>
            <w:vAlign w:val="center"/>
          </w:tcPr>
          <w:p>
            <w:pPr>
              <w:widowControl/>
              <w:jc w:val="center"/>
              <w:rPr>
                <w:rFonts w:hint="eastAsia"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7</w:t>
            </w:r>
          </w:p>
        </w:tc>
        <w:tc>
          <w:tcPr>
            <w:tcW w:w="438" w:type="pct"/>
            <w:tcBorders>
              <w:top w:val="single" w:color="auto" w:sz="4" w:space="0"/>
              <w:left w:val="single" w:color="auto" w:sz="8" w:space="0"/>
              <w:bottom w:val="single" w:color="000000" w:sz="8" w:space="0"/>
              <w:right w:val="single" w:color="auto" w:sz="8"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 xml:space="preserve">项目质量 </w:t>
            </w:r>
          </w:p>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控制方案</w:t>
            </w:r>
          </w:p>
        </w:tc>
        <w:tc>
          <w:tcPr>
            <w:tcW w:w="386" w:type="pct"/>
            <w:tcBorders>
              <w:top w:val="single" w:color="auto" w:sz="4" w:space="0"/>
              <w:left w:val="single" w:color="auto" w:sz="8" w:space="0"/>
              <w:bottom w:val="single" w:color="000000" w:sz="8" w:space="0"/>
              <w:right w:val="single" w:color="auto" w:sz="4" w:space="0"/>
            </w:tcBorders>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8</w:t>
            </w:r>
          </w:p>
        </w:tc>
        <w:tc>
          <w:tcPr>
            <w:tcW w:w="3892" w:type="pct"/>
            <w:tcBorders>
              <w:top w:val="single" w:color="auto" w:sz="4" w:space="0"/>
              <w:left w:val="single" w:color="auto" w:sz="4" w:space="0"/>
              <w:bottom w:val="single" w:color="auto" w:sz="4" w:space="0"/>
            </w:tcBorders>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提供的项目质量控制方案充分满足本次采购整体要求且具有可操作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性的得 8 分；提供的项目质量控制方案基本满足本次采购整体要求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且具有可操作性的得 6 分；提供的项目质量控制方案完善合理得 4 </w:t>
            </w:r>
          </w:p>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分；提供的项目质量控制方案不够完善得 2 分；未提供不得分。</w:t>
            </w:r>
          </w:p>
        </w:tc>
      </w:tr>
    </w:tbl>
    <w:p>
      <w:pPr>
        <w:pStyle w:val="74"/>
        <w:keepNext w:val="0"/>
        <w:keepLines w:val="0"/>
        <w:pageBreakBefore w:val="0"/>
        <w:tabs>
          <w:tab w:val="left" w:pos="-900"/>
          <w:tab w:val="clear" w:pos="709"/>
        </w:tabs>
        <w:kinsoku/>
        <w:wordWrap/>
        <w:overflowPunct/>
        <w:topLinePunct w:val="0"/>
        <w:bidi w:val="0"/>
        <w:snapToGrid/>
        <w:spacing w:line="560" w:lineRule="exact"/>
        <w:ind w:left="0" w:leftChars="0" w:firstLine="0" w:firstLineChars="0"/>
        <w:textAlignment w:val="auto"/>
        <w:rPr>
          <w:rFonts w:ascii="仿宋_GB2312" w:eastAsia="仿宋_GB2312"/>
          <w:color w:val="auto"/>
          <w:sz w:val="28"/>
          <w:szCs w:val="28"/>
          <w:highlight w:val="none"/>
        </w:rPr>
      </w:pPr>
      <w:r>
        <w:rPr>
          <w:rFonts w:hint="eastAsia"/>
          <w:color w:val="auto"/>
          <w:sz w:val="30"/>
          <w:szCs w:val="30"/>
          <w:highlight w:val="none"/>
        </w:rPr>
        <w:t xml:space="preserve">    </w:t>
      </w:r>
      <w:r>
        <w:rPr>
          <w:rFonts w:hint="eastAsia" w:ascii="仿宋_GB2312" w:eastAsia="仿宋_GB2312"/>
          <w:color w:val="auto"/>
          <w:sz w:val="28"/>
          <w:szCs w:val="28"/>
          <w:highlight w:val="none"/>
        </w:rPr>
        <w:t>注：（1）评审过程中，不得去掉报价中的最高报价和最低报价。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（2）在评审过程中，经磋商小组认定</w:t>
      </w:r>
      <w:r>
        <w:rPr>
          <w:rFonts w:hint="eastAsia" w:ascii="仿宋_GB2312" w:eastAsia="仿宋_GB2312"/>
          <w:color w:val="auto"/>
          <w:sz w:val="28"/>
          <w:szCs w:val="28"/>
          <w:highlight w:val="none"/>
          <w:lang w:eastAsia="zh-CN"/>
        </w:rPr>
        <w:t>技术</w:t>
      </w:r>
      <w:r>
        <w:rPr>
          <w:rFonts w:hint="eastAsia" w:ascii="仿宋_GB2312" w:eastAsia="仿宋_GB2312"/>
          <w:color w:val="auto"/>
          <w:sz w:val="28"/>
          <w:szCs w:val="28"/>
          <w:highlight w:val="none"/>
        </w:rPr>
        <w:t>部分某一处技术参数确实具有唯一的指向性的，该项</w:t>
      </w:r>
      <w:r>
        <w:rPr>
          <w:rFonts w:hint="eastAsia" w:ascii="仿宋_GB2312" w:eastAsia="仿宋_GB2312"/>
          <w:color w:val="auto"/>
          <w:sz w:val="28"/>
          <w:szCs w:val="28"/>
          <w:highlight w:val="none"/>
          <w:lang w:eastAsia="zh-CN"/>
        </w:rPr>
        <w:t>技术</w:t>
      </w:r>
      <w:r>
        <w:rPr>
          <w:rFonts w:hint="eastAsia" w:ascii="仿宋_GB2312" w:eastAsia="仿宋_GB2312"/>
          <w:color w:val="auto"/>
          <w:sz w:val="28"/>
          <w:szCs w:val="28"/>
          <w:highlight w:val="none"/>
        </w:rPr>
        <w:t>参数将不列入评价/评审标准。</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（3）技术部分各评委打分汇总取算术平均值作为供应商的技术得分，保留小数点后两位。</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.5 磋商小组根据综合评分情况，按照评审得分由高到低顺序推荐3名成交候选供应商，并编写评审报告。</w:t>
      </w:r>
      <w:r>
        <w:rPr>
          <w:rFonts w:hint="eastAsia" w:ascii="仿宋_GB2312" w:eastAsia="仿宋_GB2312"/>
          <w:color w:val="auto"/>
          <w:sz w:val="28"/>
          <w:szCs w:val="28"/>
          <w:highlight w:val="none"/>
        </w:rPr>
        <w:t>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.6 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.7若供应商的最后报价高于项目预算，磋商小组有权拒绝该报价。</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8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.9在竞争性磋商期间，供应商不得向竞争性磋商小组成员询问其他供应商竞争性磋商情况，不得进行旨在影响成交结果的活动。</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.10在竞争性磋商期间，采购代理机构将有专门人员与供应商进行联络。</w:t>
      </w:r>
    </w:p>
    <w:p>
      <w:pPr>
        <w:keepNext w:val="0"/>
        <w:keepLines w:val="0"/>
        <w:pageBreakBefore w:val="0"/>
        <w:widowControl w:val="0"/>
        <w:kinsoku/>
        <w:wordWrap/>
        <w:overflowPunct/>
        <w:topLinePunct w:val="0"/>
        <w:autoSpaceDE/>
        <w:autoSpaceDN/>
        <w:bidi w:val="0"/>
        <w:snapToGrid/>
        <w:spacing w:line="56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5</w:t>
      </w:r>
      <w:r>
        <w:rPr>
          <w:rFonts w:hint="eastAsia" w:ascii="仿宋_GB2312" w:hAnsi="仿宋_GB2312" w:eastAsia="仿宋_GB2312" w:cs="仿宋_GB2312"/>
          <w:b/>
          <w:color w:val="auto"/>
          <w:sz w:val="28"/>
          <w:szCs w:val="28"/>
          <w:highlight w:val="none"/>
        </w:rPr>
        <w:t>.竞争性磋商终止</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.1出现下列情形之一的，采购人或者采购代理机构应当终止竞争性磋商采购活动，发布项目终止公告并说明原因，重新开展采购活动：</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（一）因情况变化，不再符合规定的竞争性磋商</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式适用情形的；</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（二）出现影响采购公正的违法、违规行为的；</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（三）除《政府采购竞争性磋商</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式管理暂行办法》第二十一条第三款规定的情形外，在采购过程中符合要求的供应商或者报价未超过采购预算的供应商不足3家的。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snapToGrid/>
        <w:spacing w:line="5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七、成交通知</w:t>
      </w:r>
    </w:p>
    <w:p>
      <w:pPr>
        <w:keepNext w:val="0"/>
        <w:keepLines w:val="0"/>
        <w:pageBreakBefore w:val="0"/>
        <w:widowControl w:val="0"/>
        <w:kinsoku/>
        <w:wordWrap/>
        <w:overflowPunct/>
        <w:topLinePunct w:val="0"/>
        <w:autoSpaceDE/>
        <w:autoSpaceDN/>
        <w:bidi w:val="0"/>
        <w:snapToGrid/>
        <w:spacing w:line="56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6</w:t>
      </w:r>
      <w:r>
        <w:rPr>
          <w:rFonts w:hint="eastAsia" w:ascii="仿宋_GB2312" w:hAnsi="仿宋_GB2312" w:eastAsia="仿宋_GB2312" w:cs="仿宋_GB2312"/>
          <w:b/>
          <w:color w:val="auto"/>
          <w:sz w:val="28"/>
          <w:szCs w:val="28"/>
          <w:highlight w:val="none"/>
        </w:rPr>
        <w:t>.成交通知</w:t>
      </w:r>
    </w:p>
    <w:p>
      <w:pPr>
        <w:keepNext w:val="0"/>
        <w:keepLines w:val="0"/>
        <w:pageBreakBefore w:val="0"/>
        <w:widowControl w:val="0"/>
        <w:tabs>
          <w:tab w:val="left" w:pos="1800"/>
        </w:tabs>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.1确定成交供应商后,采购代理机构将在焦作市公共资源交易中心网上发布成交公告，同时向成交供应商发出成交通知书，成交通知书将作为签订合同的依据。</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.2成交通知书对采购人和成交供应商具有同等法律效力。成交通知书发出后，采购人改变成交结果，或者成交供应商放弃成交，应当承担相应的法律责任。</w:t>
      </w:r>
    </w:p>
    <w:p>
      <w:pPr>
        <w:keepNext w:val="0"/>
        <w:keepLines w:val="0"/>
        <w:pageBreakBefore w:val="0"/>
        <w:widowControl w:val="0"/>
        <w:kinsoku/>
        <w:wordWrap/>
        <w:overflowPunct/>
        <w:topLinePunct w:val="0"/>
        <w:autoSpaceDE/>
        <w:autoSpaceDN/>
        <w:bidi w:val="0"/>
        <w:snapToGrid/>
        <w:spacing w:line="5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八、合同授予</w:t>
      </w:r>
    </w:p>
    <w:p>
      <w:pPr>
        <w:keepNext w:val="0"/>
        <w:keepLines w:val="0"/>
        <w:pageBreakBefore w:val="0"/>
        <w:widowControl w:val="0"/>
        <w:tabs>
          <w:tab w:val="left" w:pos="1620"/>
        </w:tabs>
        <w:kinsoku/>
        <w:wordWrap/>
        <w:overflowPunct/>
        <w:topLinePunct w:val="0"/>
        <w:autoSpaceDE/>
        <w:autoSpaceDN/>
        <w:bidi w:val="0"/>
        <w:snapToGrid/>
        <w:spacing w:line="56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w:t>
      </w:r>
      <w:r>
        <w:rPr>
          <w:rFonts w:hint="eastAsia" w:ascii="仿宋_GB2312" w:hAnsi="仿宋_GB2312" w:eastAsia="仿宋_GB2312" w:cs="仿宋_GB2312"/>
          <w:b/>
          <w:color w:val="auto"/>
          <w:sz w:val="28"/>
          <w:szCs w:val="28"/>
          <w:highlight w:val="none"/>
          <w:lang w:val="en-US" w:eastAsia="zh-CN"/>
        </w:rPr>
        <w:t>7</w:t>
      </w:r>
      <w:r>
        <w:rPr>
          <w:rFonts w:hint="eastAsia" w:ascii="仿宋_GB2312" w:hAnsi="仿宋_GB2312" w:eastAsia="仿宋_GB2312" w:cs="仿宋_GB2312"/>
          <w:b/>
          <w:color w:val="auto"/>
          <w:sz w:val="28"/>
          <w:szCs w:val="28"/>
          <w:highlight w:val="none"/>
        </w:rPr>
        <w:t>.签订合同及合同的执行</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.1 采购人、成交供应商在成交通知书发出之日起</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rPr>
        <w:t>日内，按照竞争性磋商文件的合同文本以及采购标的、规格型号、采购金额、采购数量、技术和服务要求等事项签订政府采购合同。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2采购人不得向成交供应商提出超过竞争性磋商文件以外的任何要求作为签订合同的条件，不得与成交供应商订立背离竞争性磋商文件的合同文本以及采购标的、采购金额、采购数量、技术和服务要求等实质性内容的协议。</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.3 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.4 成交供应商应在签订合同后7个工作日内向采购代理机构备案。</w:t>
      </w:r>
    </w:p>
    <w:p>
      <w:pPr>
        <w:keepNext w:val="0"/>
        <w:keepLines w:val="0"/>
        <w:pageBreakBefore w:val="0"/>
        <w:widowControl w:val="0"/>
        <w:kinsoku/>
        <w:wordWrap/>
        <w:overflowPunct/>
        <w:topLinePunct w:val="0"/>
        <w:autoSpaceDE/>
        <w:autoSpaceDN/>
        <w:bidi w:val="0"/>
        <w:snapToGrid/>
        <w:spacing w:line="5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九、质疑与投诉</w:t>
      </w:r>
    </w:p>
    <w:p>
      <w:pPr>
        <w:keepNext w:val="0"/>
        <w:keepLines w:val="0"/>
        <w:pageBreakBefore w:val="0"/>
        <w:widowControl w:val="0"/>
        <w:tabs>
          <w:tab w:val="left" w:pos="1800"/>
        </w:tabs>
        <w:kinsoku/>
        <w:wordWrap/>
        <w:overflowPunct/>
        <w:topLinePunct w:val="0"/>
        <w:autoSpaceDE/>
        <w:autoSpaceDN/>
        <w:bidi w:val="0"/>
        <w:snapToGrid/>
        <w:spacing w:line="560" w:lineRule="exact"/>
        <w:ind w:firstLine="562"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val="en-US" w:eastAsia="zh-CN"/>
        </w:rPr>
        <w:t>8</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质疑与投诉</w:t>
      </w:r>
    </w:p>
    <w:p>
      <w:pPr>
        <w:keepNext w:val="0"/>
        <w:keepLines w:val="0"/>
        <w:pageBreakBefore w:val="0"/>
        <w:widowControl w:val="0"/>
        <w:tabs>
          <w:tab w:val="left" w:pos="1800"/>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.1 质疑供应商认为采购文件、采购过程、成交结果使自己的权益受到损害的，可以在知道或者应知其权益受到损害之日起7个工作日内，以书面形式向采购人提出质疑。</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质疑供应商应在法定质疑期内一次性提出针对同一采购程序环节的质疑。</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.2 提出质疑的供应商应当是参与所质疑项目采购活动的</w:t>
      </w:r>
      <w:r>
        <w:rPr>
          <w:rFonts w:hint="eastAsia" w:ascii="仿宋_GB2312" w:eastAsia="仿宋_GB2312"/>
          <w:color w:val="auto"/>
          <w:sz w:val="28"/>
          <w:szCs w:val="28"/>
          <w:highlight w:val="none"/>
          <w:lang w:eastAsia="zh-CN"/>
        </w:rPr>
        <w:t>供应商</w:t>
      </w:r>
      <w:r>
        <w:rPr>
          <w:rFonts w:hint="eastAsia" w:ascii="仿宋_GB2312" w:eastAsia="仿宋_GB2312"/>
          <w:color w:val="auto"/>
          <w:sz w:val="28"/>
          <w:szCs w:val="28"/>
          <w:highlight w:val="none"/>
        </w:rPr>
        <w:t>。</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.3 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（1）供应商的姓名或者名称、地址、邮编、联系人及联系电话；</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（2）质疑项目的名称、编号；</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（3）具体、明确的质疑事项和与质疑事项相关的请求；</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（4）事实依据；</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（5）必要的法律依据；</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（6）提出质疑的日期；</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获取磋商文件的凭证；</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）以上资料一式二份（采购人、采购代理机构各执一份）。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.4 供应商不得虚假质疑和恶意质疑，并对质疑内容的真实性承担责任。供应商或者其他利害关系人通过捏造事实、伪造证明材料等方式提出异议或投诉，阻碍招投标活动正常进行的，属于严重不良行为，采购代理机构将提请政府采购监管部门将其列入不良行为记录名单，依法予以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.5采购人应在收到符合上述条件的书面质疑后7个工作日内审查质疑事项，并作出答复，同时以书面形式（或网上公告方式）通知质疑供应商和其他相关权利人，但答复的内容不涉及商业秘密。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.6质疑处理遵循“谁过错谁负担”的原则，有过错的一方承担调查论证费用。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28.7质疑联系事项：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质疑供应商应将质疑函分别送至采购人、采购代理机构（格式详见附件）</w:t>
      </w:r>
    </w:p>
    <w:p>
      <w:pPr>
        <w:spacing w:line="560" w:lineRule="exact"/>
        <w:ind w:firstLine="560" w:firstLineChars="200"/>
        <w:rPr>
          <w:rFonts w:hint="eastAsia" w:ascii="仿宋" w:hAnsi="仿宋" w:eastAsia="仿宋" w:cs="仿宋"/>
          <w:color w:val="auto"/>
          <w:sz w:val="28"/>
          <w:szCs w:val="28"/>
          <w:highlight w:val="none"/>
        </w:rPr>
      </w:pPr>
      <w:r>
        <w:rPr>
          <w:rFonts w:hint="eastAsia" w:ascii="仿宋_GB2312" w:eastAsia="仿宋_GB2312"/>
          <w:color w:val="auto"/>
          <w:sz w:val="28"/>
          <w:szCs w:val="28"/>
          <w:highlight w:val="none"/>
        </w:rPr>
        <w:t>（2）</w:t>
      </w:r>
      <w:r>
        <w:rPr>
          <w:rFonts w:hint="eastAsia" w:ascii="仿宋" w:hAnsi="仿宋" w:eastAsia="仿宋" w:cs="仿宋"/>
          <w:color w:val="auto"/>
          <w:sz w:val="28"/>
          <w:szCs w:val="28"/>
        </w:rPr>
        <w:t>采</w:t>
      </w:r>
      <w:r>
        <w:rPr>
          <w:rFonts w:hint="eastAsia" w:ascii="仿宋" w:hAnsi="仿宋" w:eastAsia="仿宋" w:cs="仿宋"/>
          <w:color w:val="auto"/>
          <w:sz w:val="28"/>
          <w:szCs w:val="28"/>
          <w:highlight w:val="none"/>
        </w:rPr>
        <w:t>购人：</w:t>
      </w:r>
      <w:r>
        <w:rPr>
          <w:rFonts w:hint="eastAsia" w:ascii="仿宋_GB2312" w:eastAsia="仿宋_GB2312" w:cs="Times New Roman"/>
          <w:color w:val="auto"/>
          <w:sz w:val="28"/>
          <w:szCs w:val="28"/>
          <w:lang w:val="en-US" w:eastAsia="zh-CN"/>
        </w:rPr>
        <w:t>焦作市体育局</w:t>
      </w:r>
      <w:r>
        <w:rPr>
          <w:rFonts w:hint="eastAsia" w:ascii="仿宋_GB2312" w:eastAsia="仿宋_GB2312" w:cs="Times New Roman"/>
          <w:color w:val="auto"/>
          <w:sz w:val="28"/>
          <w:szCs w:val="28"/>
        </w:rPr>
        <w:t xml:space="preserve"> </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李女士</w:t>
      </w:r>
    </w:p>
    <w:p>
      <w:pPr>
        <w:spacing w:line="5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0391-3936301</w:t>
      </w:r>
    </w:p>
    <w:p>
      <w:pPr>
        <w:adjustRightInd w:val="0"/>
        <w:spacing w:line="560" w:lineRule="exact"/>
        <w:ind w:firstLine="560" w:firstLineChars="200"/>
        <w:textAlignment w:val="baseline"/>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highlight w:val="none"/>
        </w:rPr>
        <w:t>联系地址：</w:t>
      </w:r>
      <w:r>
        <w:rPr>
          <w:rFonts w:hint="eastAsia" w:ascii="仿宋" w:hAnsi="仿宋" w:eastAsia="仿宋" w:cs="仿宋"/>
          <w:color w:val="auto"/>
          <w:sz w:val="28"/>
          <w:szCs w:val="28"/>
          <w:highlight w:val="none"/>
          <w:lang w:val="en-US" w:eastAsia="zh-CN"/>
        </w:rPr>
        <w:t xml:space="preserve"> 焦作市丰收路东路168号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（3）采购代理机构：焦作市公共资源项目服务有限责任公司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联系人：肖先生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联系电话：0391- 3568884</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联系地址：焦作市人民路889号阳光大厦B座 </w:t>
      </w:r>
    </w:p>
    <w:p>
      <w:pPr>
        <w:keepNext w:val="0"/>
        <w:keepLines w:val="0"/>
        <w:pageBreakBefore w:val="0"/>
        <w:widowControl w:val="0"/>
        <w:kinsoku/>
        <w:wordWrap/>
        <w:overflowPunct/>
        <w:topLinePunct w:val="0"/>
        <w:autoSpaceDE/>
        <w:autoSpaceDN/>
        <w:bidi w:val="0"/>
        <w:snapToGrid/>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.8质疑供应商对采购人的答复不满意以及采购人未在规定的时间内做出答复的，可以在答复期满后15个工作日内向</w:t>
      </w:r>
      <w:r>
        <w:rPr>
          <w:rFonts w:hint="eastAsia" w:ascii="仿宋" w:hAnsi="仿宋" w:eastAsia="仿宋" w:cs="仿宋"/>
          <w:bCs/>
          <w:color w:val="auto"/>
          <w:sz w:val="28"/>
          <w:szCs w:val="28"/>
          <w:lang w:val="en-US" w:eastAsia="zh-CN"/>
        </w:rPr>
        <w:t>采购人监督部</w:t>
      </w:r>
      <w:r>
        <w:rPr>
          <w:rFonts w:hint="eastAsia" w:ascii="仿宋" w:hAnsi="仿宋" w:eastAsia="仿宋" w:cs="仿宋"/>
          <w:bCs/>
          <w:color w:val="auto"/>
          <w:sz w:val="28"/>
          <w:szCs w:val="28"/>
        </w:rPr>
        <w:t>门</w:t>
      </w:r>
      <w:r>
        <w:rPr>
          <w:rFonts w:hint="eastAsia" w:ascii="仿宋" w:hAnsi="仿宋" w:eastAsia="仿宋" w:cs="仿宋"/>
          <w:color w:val="auto"/>
          <w:sz w:val="28"/>
          <w:szCs w:val="28"/>
        </w:rPr>
        <w:t>投诉</w:t>
      </w:r>
      <w:r>
        <w:rPr>
          <w:rFonts w:hint="eastAsia" w:ascii="仿宋_GB2312" w:eastAsia="仿宋_GB2312"/>
          <w:color w:val="auto"/>
          <w:sz w:val="28"/>
          <w:szCs w:val="28"/>
          <w:highlight w:val="none"/>
        </w:rPr>
        <w:t>。</w:t>
      </w:r>
    </w:p>
    <w:p>
      <w:pPr>
        <w:spacing w:line="560" w:lineRule="exact"/>
        <w:ind w:firstLine="600" w:firstLineChars="200"/>
        <w:rPr>
          <w:rFonts w:ascii="仿宋_GB2312" w:hAnsi="宋体" w:eastAsia="仿宋_GB2312" w:cs="Lucida Sans Unicode"/>
          <w:color w:val="auto"/>
          <w:sz w:val="28"/>
          <w:szCs w:val="28"/>
          <w:highlight w:val="none"/>
        </w:rPr>
      </w:pPr>
      <w:r>
        <w:rPr>
          <w:rFonts w:hint="eastAsia" w:ascii="仿宋_GB2312" w:eastAsia="仿宋_GB2312"/>
          <w:color w:val="auto"/>
          <w:sz w:val="30"/>
          <w:szCs w:val="30"/>
          <w:highlight w:val="none"/>
        </w:rPr>
        <w:br w:type="page"/>
      </w:r>
      <w:r>
        <w:rPr>
          <w:rFonts w:hint="eastAsia" w:ascii="仿宋_GB2312" w:hAnsi="宋体" w:eastAsia="仿宋_GB2312" w:cs="Lucida Sans Unicode"/>
          <w:color w:val="auto"/>
          <w:sz w:val="28"/>
          <w:szCs w:val="28"/>
          <w:highlight w:val="none"/>
        </w:rPr>
        <w:t>附件：</w:t>
      </w:r>
    </w:p>
    <w:p>
      <w:pPr>
        <w:jc w:val="center"/>
        <w:rPr>
          <w:rFonts w:ascii="仿宋" w:hAnsi="仿宋" w:eastAsia="仿宋" w:cs="仿宋"/>
          <w:b/>
          <w:bCs/>
          <w:color w:val="auto"/>
          <w:sz w:val="28"/>
          <w:szCs w:val="28"/>
          <w:highlight w:val="none"/>
        </w:rPr>
      </w:pPr>
      <w:r>
        <w:rPr>
          <w:rFonts w:hint="eastAsia" w:ascii="黑体" w:hAnsi="黑体" w:eastAsia="黑体" w:cs="黑体"/>
          <w:b/>
          <w:bCs/>
          <w:color w:val="auto"/>
          <w:sz w:val="28"/>
          <w:szCs w:val="28"/>
          <w:highlight w:val="none"/>
        </w:rPr>
        <w:t>质疑函范本</w:t>
      </w:r>
    </w:p>
    <w:p>
      <w:pPr>
        <w:spacing w:line="560" w:lineRule="exact"/>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一、质疑供应商基本信息</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质疑供应商：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联系电话：</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授权代表：</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邮编：</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二、质疑项目基本情况</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质疑项目的名称：</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质疑项目的编号：</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包号：</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采购人名称：</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磋商文件获取日期: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三、质疑事项具体内容</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质疑事项1:</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事实依据：</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法律依据：</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质疑事项2</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w:t>
      </w:r>
    </w:p>
    <w:p>
      <w:pPr>
        <w:spacing w:line="560" w:lineRule="exact"/>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四、与质疑事项相关的质疑请求</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请求：</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签字(签章)：</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公章：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日期：</w:t>
      </w:r>
      <w:r>
        <w:rPr>
          <w:rFonts w:hint="eastAsia" w:ascii="仿宋_GB2312" w:eastAsia="仿宋_GB2312"/>
          <w:color w:val="auto"/>
          <w:sz w:val="28"/>
          <w:szCs w:val="28"/>
          <w:highlight w:val="none"/>
          <w:u w:val="single"/>
        </w:rPr>
        <w:t xml:space="preserve">                      </w:t>
      </w:r>
    </w:p>
    <w:p>
      <w:pPr>
        <w:rPr>
          <w:rFonts w:ascii="仿宋_GB2312" w:eastAsia="仿宋_GB2312"/>
          <w:color w:val="auto"/>
          <w:sz w:val="28"/>
          <w:szCs w:val="28"/>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560" w:lineRule="exact"/>
        <w:ind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质疑函制作说明：</w:t>
      </w:r>
    </w:p>
    <w:p>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1.供应商提出质疑时，应提交质疑函和必要的证明材料。</w:t>
      </w:r>
    </w:p>
    <w:p>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3.质疑供应商若对项目的某一分包进行质疑，质疑函中应列明具体分包号。</w:t>
      </w:r>
    </w:p>
    <w:p>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4.质疑函的质疑事项应具体、明确，并有必要的事实依据和法律依据。</w:t>
      </w:r>
    </w:p>
    <w:p>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5.质疑函的质疑请求应与质疑事项相关。</w:t>
      </w:r>
    </w:p>
    <w:p>
      <w:pPr>
        <w:spacing w:line="560" w:lineRule="exact"/>
        <w:ind w:firstLine="584" w:firstLineChars="200"/>
        <w:rPr>
          <w:rFonts w:ascii="仿宋_GB2312" w:eastAsia="仿宋_GB2312"/>
          <w:color w:val="auto"/>
          <w:sz w:val="28"/>
          <w:szCs w:val="28"/>
          <w:highlight w:val="none"/>
        </w:rPr>
      </w:pPr>
      <w:r>
        <w:rPr>
          <w:rFonts w:hint="eastAsia" w:ascii="仿宋_GB2312" w:eastAsia="仿宋_GB2312"/>
          <w:color w:val="auto"/>
          <w:spacing w:val="6"/>
          <w:sz w:val="28"/>
          <w:szCs w:val="28"/>
          <w:highlight w:val="none"/>
        </w:rPr>
        <w:t>6.质疑供应商为自然人的，质疑函应由本人签字；质疑供应商为法人或者其他组织的，质疑函应由法定代表人、主要负责人，或者其授权代表签字或者盖章，并加盖公章。</w:t>
      </w: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spacing w:line="560" w:lineRule="exact"/>
        <w:jc w:val="center"/>
        <w:rPr>
          <w:rFonts w:ascii="宋体" w:hAnsi="宋体" w:cs="宋体"/>
          <w:b/>
          <w:color w:val="auto"/>
          <w:sz w:val="30"/>
          <w:szCs w:val="30"/>
          <w:highlight w:val="none"/>
        </w:rPr>
      </w:pPr>
    </w:p>
    <w:p>
      <w:pPr>
        <w:pageBreakBefore w:val="0"/>
        <w:widowControl w:val="0"/>
        <w:numPr>
          <w:ilvl w:val="0"/>
          <w:numId w:val="0"/>
        </w:numPr>
        <w:kinsoku/>
        <w:wordWrap/>
        <w:overflowPunct/>
        <w:topLinePunct w:val="0"/>
        <w:bidi w:val="0"/>
        <w:adjustRightInd/>
        <w:snapToGrid/>
        <w:spacing w:line="560" w:lineRule="exact"/>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第三章  </w:t>
      </w:r>
      <w:r>
        <w:rPr>
          <w:rFonts w:hint="eastAsia" w:ascii="仿宋" w:hAnsi="仿宋" w:eastAsia="仿宋" w:cs="仿宋"/>
          <w:b/>
          <w:color w:val="auto"/>
          <w:sz w:val="30"/>
          <w:szCs w:val="30"/>
          <w:highlight w:val="none"/>
        </w:rPr>
        <w:t>采购需求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一、项目概况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次服务项目为“2022年“奔跑吧·少年”系列赛事活动”，该项目主要由“2022年焦作市体育传统学校运动会”、“扶持奖励焦作市体育传统特色学校运动会的体育器材”和“2022年焦作市亲子运动会”三部分组成。其中主要涉及到两个运动会的筹备、组织实施、印刷品制作、服装、竞赛用品、扶持器材采购等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二、服务内容概要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（一）2022年焦作市体育传统学校运动会赛事服务项目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次运动会共涉及到5个大项和3个表演项目，参赛规模预计达到3500人，预计9月中下旬举办，其中太极拳项目在焦作市太极体育中心体育馆举办，预计2天；田径项目在焦作市太极体育中心体育场举办，预计2天；篮球项目在焦作市太极体育中心室外篮球场、健身馆篮球场举办，预计14天；足球项目在焦作市太极体育中心体育场、室外足球场举办，预计12天；排球项目在焦作市第十一中学举办，预计6天；街舞项目在焦作市太极体育中心体育馆举办，预计2天；滑板和小轮车项目在焦作市太极体育中心极限广场进行，预计各2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供应商负责以下服务事项且产生的所有费用均由供应商承担：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1.拟定该运动会的筹备工作实施方案、活动组织方案、预算方案、疫情防控应急方案、医疗救护方案并报采购人批准。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供应商应按要求于比赛结束后10个工作日内向采购人提供经费决算、秩序册、成绩册、工作总结、音像和图片资料、正式发票、银行账号等。以下服务项目中涉及到喷绘、印刷品等的项目均需使用“奔跑吧·少年”视觉元素，所有定稿均需经过采购人审核通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3.组织运动会相关会议，组织填写“奔跑吧·少年”运动员问卷。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4.以下项目没有标明具体数量和人数的均依照赛事活动具体需求具体提供。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（1）比赛录像、视频制作和宣传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需对开幕式、闭幕式、太极拳、田径、篮球、足球、排球和表演项目进行拍摄并制作短视频，每项不少于5条，每条时长不低于1分钟，每项图片不少于10张。采购人拥有本次赛事活动音像制品的版权，供应商在获得采购人同意后可无偿用于公益性宣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（2）筹备组织实施开闭幕式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举办地点：焦作市太极体育中心体育馆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组织实施开闭幕式，拟定开闭幕式筹备工作实施方案、活动组织方案、疫情防控应急方案、医疗救护方案并报采购人批准，包含开闭幕式整体策划、音乐制作、主持人、展演节目（含租车费用）、场地保障、场地布置、用水等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2.1场地布置：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开闭幕式室内无味喷绘：喷绘布,规格尺寸依照场地需求具体测量制作，桁架符合喷绘所需要求。桌椅、幕布、音响、话筒等与开闭幕式相关用品，依活动具体需求数量提供。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2.2开闭幕式手举牌：材质kt板,规格0.4m*0.6m。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2.3开闭幕式展演节目：节目不少于5-7个，内容包括：太极操等。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2.4开闭幕式引导员及服装，数量与参赛学校相符。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闭幕式颁奖礼仪要求：身高1.68米以上,五官端正，容貌姣好,反应良好,微笑甜美，具有亲和力,身体匀称，比例协调,体态挺拔,站立端庄，姿态优美，表情自然,行走端正，动作协调性好,语气声调亲切自然,能够较好地使用雅语、敬语、谦语、专业术语,有较好的语言逻辑、语言组织能力及语言表达能力,心理素质好,遇事冷静，有较强的随机应变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（3）印刷品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供应商根据赛事需要负责喷绘、条幅、证书、奖匾、成绩册、秩序册、证件等印刷品的设计制作，设计稿经过采购人同意后制作。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喷绘和条幅：体育场足球项目、田径项目、焦作十一中排球项目、极限广场等场地安装室内无味喷绘，喷绘材质喷绘布，配套桁架符合喷绘所需要求。条幅数量：太极拳项目1条，田径项目3条，篮球项目3条，足球项目1条，排球项目3条，表演项目各1条，共12条。喷绘和条幅的规格尺寸依照场地需求具体测量制作，内容由采购人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3.2比赛证书。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3.3奖匾制作：材质木质，规格40cm*60cm，包含“优秀组织奖”“体育道德风尚奖”等。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3.4成绩册、秩序册：规格0.21m</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0.297m。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3.5候场区、候分区、检录处、隔离区标志牌：kt板。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3.6证件：规格9.7cm*14.7cm，包括裁判长证、裁判员证、领队证、教练员证、运动员证、工作人员证等证件。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（4）赛事各项目其他需求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4.1裁判员服装：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4.1.1长袖T恤：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每件标准不低于150元，要求有男、女款；号码涵盖（身高105cm、体重13kg至身高200cm、体重102kg）多个号段；；色调：可选；面料成份：100%聚酯纤维；克重：145g/平米；面料吸湿排汗面料，色彩纯正，不少于5个配色，腋下防臭条设计；耐水色牢度、耐皂洗色牢度、耐汗渍色牢度、耐摩擦色牢度、耐光色牢度：≥4级；PH值、甲醛含量、可分解致癌芳香胺染料、异味，符合国标一等品；符合GB/T22849-2014一等品；安全标准：安全类别GB18401-2010（B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4.1.2帽子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价格：每件不低于30元。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规格：帽围56-61cm（可调节）、帽高≥11cm、帽檐≥7.5cm。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材质：网眼透气速干面料，遮阳防晒，透气散热。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特性：帽内采用立体裁剪设计，柔软舒适，走线均匀，佩戴无压迫感。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4.2用水：不低于2瓶/天</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2元的标准向赛事裁判员、志愿者、工作人员等相关人员提供。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4.3场地布置：需按照竞赛要求，布置场地、提供附属设施。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4.4竞赛办公用品：提供赛事活动基本竞赛办公用品（包括手提电脑、打印机、插线板、A4纸、订书针、订书机、黑红色中性笔、铅笔、转笔刀、橡皮等），数量依照赛事需求提供。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4.5竞赛器材及其他用品：竞赛所需的场地由采购人提供，竞赛器材由采购人提供，不足部分由供应商提供。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具体清单如下（涉及到的球类参数依照扶持器材的参数执行）：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太极拳比赛：武术地毯一块、裁判包、笔记本、口哨、白板笔、桌椅等。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田径比赛：田径场布置画线、遮阳帐篷、电计时、号码贴（每人3个）、检录计时钟表、栏架、接力棒、道次牌、烟屏、发令枪、标枪、铅球、铅球抵趾板、跳高横杆、跳高海绵垫、铁饼、铁饼护笼、垒球125g、小红旗、小白旗、800米抢道旗、检查绿旗、栏高丈量尺、电喇叭、小马扎、木板夹、铁锹、搂耙、跳远显示板、跳高丈量尺、苕帚、摇铃、检查员黄旗、100米卷尺、长条桌、批灰刀、备用鞋钉、记号笔、1号电池、换衣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篮球比赛：遮阳帐篷、电子显示屏、球权转换器、四次犯规标记、蜂鸣器、翻分牌（备用）、7号球专用球、6号球专用球、三人制专用球、毛巾（比赛期间擦球使用）、双色圆珠笔、A4板夹、记录表五人制、三人制，粗记号笔黑红，比赛积分表（A3纸打印）、胶带、参加下一轮此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足球比赛：足球场布置画线、遮阳帐篷、记录台、连椅、五人制足球门+网、八人制足球门+网、11人制足球门+网、角旗杆、手旗、换人牌、比分牌、秒表、板夹、4号足球、5号足球、档案袋、笔记本、三音哨。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滑板比赛：长桌子、凳子、遮阳帐篷、音箱、话筒、笔、黑色马克笔、记时用秒表、头盔及护具(s 号、m号、 l号)、备用滑板、领奖台、领奖台幕布、检录处、免责声明、保险检验登记表、参赛成绩统计表、参赛选手检录表、口罩、酒精、喷壶。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小轮车比赛：长桌子、凳子、遮阳帐篷、音箱、话筒、笔、黑色马克笔、记时用秒表、头盔及护具(s 号、m号、l号)、领奖台、领奖台幕布、检录处、免责声明、保险检验登记表、参赛成绩统计表、参赛选手检录表、激光计时器、码表、发令枪、选手号码牌。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街舞比赛：长桌子、凳子，地板革3*3米、选手号码牌、舞台6米*10米、音箱、话筒一套（需要有调音台）、黑色马克笔、记时用秒表、领奖台、领奖台幕布、检录处、免责声明、保险检验登记表、参赛成绩统计表、参赛选手检录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4.6医护人员：保证赛事期间有一名医生和一名护士在场，应依据赛事特征准备足够的应急药品（包括云南白药气雾剂、纱布绷带、冰袋、碘伏、酒精、创可贴等）。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4.7安保和防疫：设置防疫台和隔离区（有明显标志：贴标签或挂牌），备足防疫物资（口罩，酒精，喷壶等），有足够的安保人员保障赛事的安全进行。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扶持奖励焦作市体育传统特色学校运动会的体育器材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1.供应商负责采购扶持奖励器材。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2.获得扶持奖励器材的学校名单为每个大项每个组别（按照小学、初中、高中三个组别计算）总分排名前3的学校。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3.每个大项每个学校分发扶持奖励器材的标准不低于2200元。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4.扶持奖励器材类型如下：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4.1太极拳器械：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4.1.1竞赛刀：选用优质高碳刚，韧性好；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ABS防滑手柄，人体工程学弧度设计，表面凹凸裂纹设计，有效增加摩擦力；刀柄处有护手卡口设计，打磨光滑，连接紧密不易脱落；刀尾尾部铜丝封底，牢固不脱落，圆环设计便于系彩带。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4.1.2竞技太极剑：选用优质高碳刚，韧性好；ABS防滑手柄，人体工程学弧度设计，表面凹凸裂纹设计，有效增加摩擦力；剑鞘口处有护手卡口设计，打磨光滑，连接紧密不易脱落；剑尾尾部铜丝封底，牢固不脱落，圆环设计便于系剑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4.1.3竞技太极扇：扇面选用绸缎材质，电脑裁剪烫边，要求无毛刺抽丝现象；扇柄采用加厚竹骨打磨抛光，结实耐用；固定部位采用加粗铆钉，坚固耐用，活络顺滑；配备收耐袋。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4.2田径：竞赛跑鞋：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4.2.1帮面材质：大面积透气网面+耐磨TPU组合；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4.2.2外底材质：TPU；</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4.2.3衬里材质：纺织品+EVA；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4.2.4钉座无溢胶，螺纹工整不滑丝，装钉简易，咬合力强劲，不易脱落。高强度钢钉，抓力强，不易变形；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4.2.5后跟包裹性强，护踝防止扭伤，激烈奔跑过程中不易松脱；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4.2.6尺码35-45可选。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4.3竞赛足球：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4.3.1单个价格不低于200元；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4.3.2规格：5号，适用于青少年；周长在68.5至69.5厘米之间，球的最大直径和最小直径误差不能超过1.5％；重量规定误差在420至445克之间，湿球的重量不得超过正常球重的10％；充气后其压力应相等于0.6-1.1 个大气压力（海平面上），即相等于600-1100克／厘米；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4.3.3材质：选用优质丁基内胆，尼龙缠纱处理，热粘合无缝贴皮，33mm加长高气密性气嘴。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4.3.4适用于室内外各种场地。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4.4竞赛篮球：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4.4.1单个价格不低于200元。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4.4.2规格：5号，适用于青少年；周长69-71cm、重量470-500g。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4.4.3材质：选用优质丁基内胆，尼龙缠纱处理，表面选用耐磨防滑PU面。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4.4.4适用于用室内外各种场地。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4.5竞赛排球：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4.5.1单个价格不低于200元。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4.5.2规格：球圆周为63.5到68.8厘米；重量255到346克。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4.5.3材质：选用优质弹力橡胶内胆，高密度尼龙缠纱处理，优质回弹中胎，PVC柔软材质外皮；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4.5.4特性：表皮耐磨防滑，控球稳定；软弹发泡工艺，手感舒适不伤手；回弹力强，轻松击打不费力；加强耐用缝线，球体扎实稳固；气体分子隔离技术，有效防止球内气体外泄，持久耐用；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4.5.5适用于室内外各种场地。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（三）2022年焦作市亲子运动会服务项目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赛事活动规模：参赛幼儿园不少于18所，不少于400人；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趣味赛组别和项目设置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组    别：大班组，中班组，小班组；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比赛项目：大班组不少于9个项目；中班组不少于9个项目，小班组不少于6个项目。项目的设置和使用器材均须符合运动员年龄设置。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幼儿体操赛项目设置：自编操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幼儿体操赛年龄设置：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2016年9月1日至2017年8月30日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时间：9月中旬，预计1天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地点：焦作市太极体育中心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该活动中涉及到喷绘、印刷品等的项目均需使用“奔跑吧·少年”视觉元素，所有定稿均需经过采购人审核通过。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1.拟定赛事活动筹备工作实施方案、活动组织方案、预算方案、疫情防控方案、应急方案、医疗救护方案等并报采购人批准.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2.负责赛事活动的组织实施。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赛事保险：供应商需购买一份组织者责任险，其中每人人身伤亡责任险限额不低于10万元，每人医疗费用责任限额不低于1万元，时间从赛事开始当天零点截止到赛事结束当天24点，被保险人员包括所有参与赛事活动的人员，保险内容包括意外、医疗等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筹备开幕式：供应商组织实施开幕式，拟定开幕式筹备工作实施方案、活动组织方案、疫情防控应急方案、医疗救护方案并报采购人批准，包含开幕式整体策划、音乐制作、主持人、展演节目（含租车费用）、场地保障、场地布置、用水等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场地布置：开幕式室内无味喷绘：喷绘布,规格尺寸依照场地需求具体测量制作，桁架符合喷绘所需要求。桌椅、幕布、音响、话筒等与开幕式相关用品，依活动具体需求数量提供。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5.组织裁判员学习及实习，召开领队、教练、裁判员联席会。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6.接受报名、统计、复核报名人员资格，制定比赛详细日程、活动编排，设计秩序册、成绩册等报采购人备案后制作。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7.布置符合比赛所需的场地、场地附属设施、比赛活动用品、器材等。根据需要，负责奖牌（奖匾）的设计制作和奖品的订购（设计稿需经采购人审核）。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8.在活动现场设置宣传背景和横幅。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9.负责赛事彩排、抽签等。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提供牌匾、礼品、纪念品等：趣味赛：大班组、中班组、小班组各设置一等奖1组，二等奖2组，三等奖3组；颁发奖匾和奖品。参加趣味赛的小朋友均可获得纪念品一份。幼儿体操比赛：一等奖1队，二等奖2队，三等奖3队，颁发奖匾及奖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11.组织填写“奔跑吧·少年”运动员问卷。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12.制作比赛的音像品（包括光碟、电视专题节目等），采购人拥有本次比赛活动音像制品的版权，供应商在获得采购人同意后可无偿用于公益性宣传。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13.负责比赛的安全保卫工作：制定医疗救护方案，有专业医护人员在赛场，查验参赛人员的保险，如未购买，不允许参加赛事。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14.相关人员的酬金支出：裁判长180元/人/天，裁判员150元/人/天，工作人员100元/人/天。并承担个人所得税代扣代缴责任。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15.按要求于比赛活动结束后10日内向采购人提供经费决算、秩序册、工作总结、音像和图片资料、正式发票、银行账号等。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三、项目商务要求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1、付款方式：系列赛事活动服务结束后一次性按成交金额支付。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2、服务期限：系列赛事活动服务结束。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服务地点：焦作市太极体育中心体育馆、焦作市太极体育中心体育场田径场、室外田径场、焦作市太极体育中心室外篮球场、焦作市太极体育中心体育场足球场、室外足球场、焦作市第十一中学、焦作市太极体育中心极限广场、体育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4、其他说明：“2022年焦作市体育传统学校运动会”购买赛事保险的费用和涉及到的裁判员和志愿者（秩序册中各项目裁判员和志愿者名单）酬金由采购人支付，其他费用由供应商支付并承担个人所得税代扣代缴责任。</w:t>
      </w:r>
      <w:r>
        <w:rPr>
          <w:rFonts w:hint="eastAsia" w:ascii="仿宋" w:hAnsi="仿宋" w:eastAsia="仿宋" w:cs="仿宋"/>
          <w:color w:val="auto"/>
          <w:sz w:val="28"/>
          <w:szCs w:val="28"/>
          <w:lang w:val="en-US" w:eastAsia="zh-CN"/>
        </w:rPr>
        <w:br w:type="page"/>
      </w:r>
    </w:p>
    <w:p>
      <w:pPr>
        <w:keepNext w:val="0"/>
        <w:keepLines w:val="0"/>
        <w:pageBreakBefore w:val="0"/>
        <w:kinsoku/>
        <w:wordWrap/>
        <w:overflowPunct/>
        <w:topLinePunct w:val="0"/>
        <w:autoSpaceDE/>
        <w:autoSpaceDN/>
        <w:bidi w:val="0"/>
        <w:adjustRightInd/>
        <w:snapToGrid/>
        <w:spacing w:line="560" w:lineRule="exact"/>
        <w:ind w:firstLine="602" w:firstLineChars="200"/>
        <w:jc w:val="center"/>
        <w:textAlignment w:val="auto"/>
        <w:rPr>
          <w:rFonts w:ascii="仿宋" w:hAnsi="仿宋" w:eastAsia="仿宋"/>
          <w:color w:val="auto"/>
          <w:sz w:val="30"/>
          <w:szCs w:val="30"/>
          <w:highlight w:val="none"/>
        </w:rPr>
      </w:pPr>
      <w:r>
        <w:rPr>
          <w:rFonts w:hint="eastAsia" w:ascii="宋体" w:hAnsi="宋体"/>
          <w:b/>
          <w:bCs/>
          <w:color w:val="auto"/>
          <w:sz w:val="30"/>
          <w:szCs w:val="30"/>
          <w:highlight w:val="none"/>
        </w:rPr>
        <w:t>第四章  响应性文件内容及格式</w:t>
      </w:r>
      <w:r>
        <w:rPr>
          <w:rFonts w:hint="eastAsia" w:ascii="宋体" w:hAnsi="宋体"/>
          <w:b/>
          <w:bCs/>
          <w:color w:val="auto"/>
          <w:sz w:val="30"/>
          <w:szCs w:val="30"/>
          <w:highlight w:val="none"/>
        </w:rPr>
        <w:cr/>
      </w:r>
      <w:r>
        <w:rPr>
          <w:rFonts w:hint="eastAsia" w:ascii="仿宋_GB2312" w:hAnsi="仿宋_GB2312" w:eastAsia="仿宋_GB2312" w:cs="仿宋_GB2312"/>
          <w:color w:val="auto"/>
          <w:sz w:val="28"/>
          <w:szCs w:val="28"/>
          <w:highlight w:val="none"/>
        </w:rPr>
        <w:cr/>
      </w:r>
      <w:r>
        <w:rPr>
          <w:rFonts w:hint="eastAsia" w:ascii="仿宋" w:hAnsi="仿宋" w:eastAsia="仿宋"/>
          <w:color w:val="auto"/>
          <w:sz w:val="28"/>
          <w:szCs w:val="28"/>
          <w:highlight w:val="none"/>
        </w:rPr>
        <w:t>注：请供应商按照以下文件的要求格式、内容制作响应性文件，并编制目录及页码，否则可能将影响对响应性文件的评价。</w:t>
      </w: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ind w:firstLine="3012" w:firstLineChars="1000"/>
        <w:rPr>
          <w:rFonts w:ascii="宋体" w:hAnsi="宋体" w:cs="宋体"/>
          <w:b/>
          <w:bCs/>
          <w:color w:val="auto"/>
          <w:sz w:val="30"/>
          <w:szCs w:val="30"/>
          <w:highlight w:val="none"/>
        </w:rPr>
      </w:pPr>
    </w:p>
    <w:p>
      <w:pPr>
        <w:spacing w:line="560" w:lineRule="exact"/>
        <w:jc w:val="center"/>
        <w:rPr>
          <w:rFonts w:ascii="宋体" w:hAnsi="宋体" w:cs="宋体"/>
          <w:b/>
          <w:bCs/>
          <w:color w:val="auto"/>
          <w:sz w:val="30"/>
          <w:szCs w:val="30"/>
          <w:highlight w:val="none"/>
        </w:rPr>
      </w:pPr>
    </w:p>
    <w:p>
      <w:pPr>
        <w:spacing w:line="5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响应性文件内容</w:t>
      </w:r>
    </w:p>
    <w:tbl>
      <w:tblPr>
        <w:tblStyle w:val="28"/>
        <w:tblW w:w="8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824"/>
        <w:gridCol w:w="1440"/>
        <w:gridCol w:w="962"/>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31" w:type="dxa"/>
            <w:tcBorders>
              <w:top w:val="double" w:color="auto" w:sz="4" w:space="0"/>
              <w:left w:val="doub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  目</w:t>
            </w:r>
          </w:p>
        </w:tc>
        <w:tc>
          <w:tcPr>
            <w:tcW w:w="6264" w:type="dxa"/>
            <w:gridSpan w:val="2"/>
            <w:tcBorders>
              <w:top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项目及审核内容</w:t>
            </w:r>
          </w:p>
        </w:tc>
        <w:tc>
          <w:tcPr>
            <w:tcW w:w="962" w:type="dxa"/>
            <w:tcBorders>
              <w:top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格式</w:t>
            </w:r>
          </w:p>
        </w:tc>
        <w:tc>
          <w:tcPr>
            <w:tcW w:w="723" w:type="dxa"/>
            <w:tcBorders>
              <w:top w:val="double" w:color="auto" w:sz="4" w:space="0"/>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编制</w:t>
            </w:r>
            <w:r>
              <w:rPr>
                <w:rFonts w:hint="eastAsia" w:ascii="宋体" w:hAnsi="宋体" w:eastAsia="宋体" w:cs="宋体"/>
                <w:color w:val="auto"/>
                <w:kern w:val="0"/>
                <w:sz w:val="21"/>
                <w:szCs w:val="21"/>
                <w:highlight w:val="none"/>
              </w:rPr>
              <w:t>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restart"/>
            <w:tcBorders>
              <w:left w:val="double" w:color="auto" w:sz="4" w:space="0"/>
              <w:right w:val="single" w:color="auto" w:sz="4" w:space="0"/>
            </w:tcBorders>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响应性文件的封皮及目录</w:t>
            </w:r>
          </w:p>
        </w:tc>
        <w:tc>
          <w:tcPr>
            <w:tcW w:w="6264" w:type="dxa"/>
            <w:gridSpan w:val="2"/>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响应性文件的封皮</w:t>
            </w:r>
          </w:p>
        </w:tc>
        <w:tc>
          <w:tcPr>
            <w:tcW w:w="962"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格式1</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continue"/>
            <w:tcBorders>
              <w:left w:val="doub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p>
        </w:tc>
        <w:tc>
          <w:tcPr>
            <w:tcW w:w="6264" w:type="dxa"/>
            <w:gridSpan w:val="2"/>
            <w:tcBorders>
              <w:bottom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响应性文件的目录</w:t>
            </w:r>
          </w:p>
        </w:tc>
        <w:tc>
          <w:tcPr>
            <w:tcW w:w="962" w:type="dxa"/>
            <w:vAlign w:val="center"/>
          </w:tcPr>
          <w:p>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2</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restart"/>
            <w:tcBorders>
              <w:left w:val="doub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资格性</w:t>
            </w: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证明材料</w:t>
            </w:r>
          </w:p>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营业执照副本</w:t>
            </w:r>
          </w:p>
        </w:tc>
        <w:tc>
          <w:tcPr>
            <w:tcW w:w="1440" w:type="dxa"/>
            <w:tcBorders>
              <w:bottom w:val="single" w:color="auto" w:sz="4" w:space="0"/>
            </w:tcBorders>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扫描件</w:t>
            </w:r>
          </w:p>
        </w:tc>
        <w:tc>
          <w:tcPr>
            <w:tcW w:w="962"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其他资格要求（如有需提供）</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扫描件</w:t>
            </w:r>
          </w:p>
        </w:tc>
        <w:tc>
          <w:tcPr>
            <w:tcW w:w="962" w:type="dxa"/>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税务登记证副本</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扫描件</w:t>
            </w:r>
          </w:p>
        </w:tc>
        <w:tc>
          <w:tcPr>
            <w:tcW w:w="96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法定代表人身份证明书或授权委托书</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4</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竞争性磋商会日前六个月内任一个月的依法缴纳税收的证明</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扫描件</w:t>
            </w:r>
          </w:p>
        </w:tc>
        <w:tc>
          <w:tcPr>
            <w:tcW w:w="96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竞争性磋商会日前六个月内任一个月的依法缴纳社会保障资金的证明</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扫描件</w:t>
            </w:r>
          </w:p>
        </w:tc>
        <w:tc>
          <w:tcPr>
            <w:tcW w:w="962"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exac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竞争性磋商会日前六个月内任一个月的资产负债表或损益表或年度财务会计报表或会计事务所出具的年度审计报告</w:t>
            </w:r>
          </w:p>
        </w:tc>
        <w:tc>
          <w:tcPr>
            <w:tcW w:w="1440" w:type="dxa"/>
            <w:tcBorders>
              <w:bottom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扫描件</w:t>
            </w:r>
          </w:p>
        </w:tc>
        <w:tc>
          <w:tcPr>
            <w:tcW w:w="962"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自拟</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spacing w:line="360" w:lineRule="exact"/>
              <w:jc w:val="center"/>
              <w:rPr>
                <w:rFonts w:hint="eastAsia" w:ascii="宋体" w:hAnsi="宋体" w:eastAsia="宋体" w:cs="宋体"/>
                <w:color w:val="auto"/>
                <w:kern w:val="0"/>
                <w:sz w:val="21"/>
                <w:szCs w:val="21"/>
                <w:highlight w:val="none"/>
              </w:rPr>
            </w:pPr>
          </w:p>
        </w:tc>
        <w:tc>
          <w:tcPr>
            <w:tcW w:w="4824" w:type="dxa"/>
            <w:tcBorders>
              <w:bottom w:val="single" w:color="auto" w:sz="4" w:space="0"/>
            </w:tcBorders>
            <w:vAlign w:val="center"/>
          </w:tcPr>
          <w:p>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参加采购活动前三年内无重大违法记录的书面声明</w:t>
            </w:r>
          </w:p>
        </w:tc>
        <w:tc>
          <w:tcPr>
            <w:tcW w:w="1440" w:type="dxa"/>
            <w:tcBorders>
              <w:bottom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原件</w:t>
            </w:r>
          </w:p>
        </w:tc>
        <w:tc>
          <w:tcPr>
            <w:tcW w:w="962" w:type="dxa"/>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6</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restart"/>
            <w:tcBorders>
              <w:left w:val="double" w:color="auto" w:sz="4" w:space="0"/>
              <w:right w:val="single" w:color="auto" w:sz="4" w:space="0"/>
            </w:tcBorders>
            <w:vAlign w:val="center"/>
          </w:tcPr>
          <w:p>
            <w:pPr>
              <w:widowControl/>
              <w:rPr>
                <w:rFonts w:hint="eastAsia" w:ascii="宋体" w:hAnsi="宋体" w:eastAsia="宋体" w:cs="宋体"/>
                <w:color w:val="auto"/>
                <w:kern w:val="0"/>
                <w:sz w:val="21"/>
                <w:szCs w:val="21"/>
                <w:highlight w:val="none"/>
              </w:rPr>
            </w:pP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符合性</w:t>
            </w:r>
          </w:p>
          <w:p>
            <w:pPr>
              <w:widowControl/>
              <w:ind w:left="-109" w:leftChars="-5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证明材料</w:t>
            </w:r>
          </w:p>
        </w:tc>
        <w:tc>
          <w:tcPr>
            <w:tcW w:w="4824" w:type="dxa"/>
            <w:vAlign w:val="center"/>
          </w:tcPr>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供应商公司基本情况简介</w:t>
            </w:r>
          </w:p>
        </w:tc>
        <w:tc>
          <w:tcPr>
            <w:tcW w:w="1440"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5</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p>
        </w:tc>
        <w:tc>
          <w:tcPr>
            <w:tcW w:w="4824" w:type="dxa"/>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反商业贿赂承诺书</w:t>
            </w:r>
          </w:p>
        </w:tc>
        <w:tc>
          <w:tcPr>
            <w:tcW w:w="144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7</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磋商承诺函</w:t>
            </w:r>
          </w:p>
        </w:tc>
        <w:tc>
          <w:tcPr>
            <w:tcW w:w="144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3</w:t>
            </w:r>
          </w:p>
        </w:tc>
        <w:tc>
          <w:tcPr>
            <w:tcW w:w="723" w:type="dxa"/>
            <w:tcBorders>
              <w:right w:val="doub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报价一览表</w:t>
            </w:r>
          </w:p>
        </w:tc>
        <w:tc>
          <w:tcPr>
            <w:tcW w:w="144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8</w:t>
            </w:r>
          </w:p>
        </w:tc>
        <w:tc>
          <w:tcPr>
            <w:tcW w:w="723" w:type="dxa"/>
            <w:tcBorders>
              <w:right w:val="doub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widowControl/>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响应表</w:t>
            </w:r>
          </w:p>
        </w:tc>
        <w:tc>
          <w:tcPr>
            <w:tcW w:w="1440"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9</w:t>
            </w:r>
          </w:p>
        </w:tc>
        <w:tc>
          <w:tcPr>
            <w:tcW w:w="723" w:type="dxa"/>
            <w:tcBorders>
              <w:right w:val="doub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商务响应表</w:t>
            </w:r>
          </w:p>
        </w:tc>
        <w:tc>
          <w:tcPr>
            <w:tcW w:w="144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格式1</w:t>
            </w:r>
            <w:r>
              <w:rPr>
                <w:rFonts w:hint="eastAsia" w:ascii="宋体" w:hAnsi="宋体" w:cs="宋体"/>
                <w:color w:val="auto"/>
                <w:sz w:val="21"/>
                <w:szCs w:val="21"/>
                <w:highlight w:val="none"/>
                <w:lang w:val="en-US" w:eastAsia="zh-CN"/>
              </w:rPr>
              <w:t>0</w:t>
            </w:r>
          </w:p>
        </w:tc>
        <w:tc>
          <w:tcPr>
            <w:tcW w:w="723" w:type="dxa"/>
            <w:tcBorders>
              <w:right w:val="doub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项目服务实施方案</w:t>
            </w:r>
            <w:r>
              <w:rPr>
                <w:rFonts w:hint="eastAsia" w:ascii="宋体" w:hAnsi="宋体" w:eastAsia="宋体" w:cs="宋体"/>
                <w:color w:val="auto"/>
                <w:sz w:val="21"/>
                <w:szCs w:val="21"/>
              </w:rPr>
              <w:t>、项目主要人员一览表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参加本项目组成人员表</w:t>
            </w:r>
          </w:p>
        </w:tc>
        <w:tc>
          <w:tcPr>
            <w:tcW w:w="144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962"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格式1</w:t>
            </w:r>
            <w:r>
              <w:rPr>
                <w:rFonts w:hint="eastAsia" w:ascii="宋体" w:hAnsi="宋体" w:cs="宋体"/>
                <w:color w:val="auto"/>
                <w:sz w:val="21"/>
                <w:szCs w:val="21"/>
                <w:highlight w:val="none"/>
                <w:lang w:val="en-US" w:eastAsia="zh-CN"/>
              </w:rPr>
              <w:t>1</w:t>
            </w:r>
          </w:p>
        </w:tc>
        <w:tc>
          <w:tcPr>
            <w:tcW w:w="723" w:type="dxa"/>
            <w:tcBorders>
              <w:right w:val="doub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vMerge w:val="continue"/>
            <w:tcBorders>
              <w:left w:val="double" w:color="auto" w:sz="4" w:space="0"/>
              <w:right w:val="single" w:color="auto" w:sz="4" w:space="0"/>
            </w:tcBorders>
            <w:vAlign w:val="center"/>
          </w:tcPr>
          <w:p>
            <w:pPr>
              <w:widowControl/>
              <w:ind w:left="-109" w:leftChars="-52"/>
              <w:jc w:val="center"/>
              <w:rPr>
                <w:rFonts w:hint="eastAsia" w:ascii="宋体" w:hAnsi="宋体" w:eastAsia="宋体" w:cs="宋体"/>
                <w:color w:val="auto"/>
                <w:kern w:val="0"/>
                <w:sz w:val="21"/>
                <w:szCs w:val="21"/>
                <w:highlight w:val="none"/>
              </w:rPr>
            </w:pPr>
          </w:p>
        </w:tc>
        <w:tc>
          <w:tcPr>
            <w:tcW w:w="4824" w:type="dxa"/>
            <w:vAlign w:val="center"/>
          </w:tcPr>
          <w:p>
            <w:pPr>
              <w:spacing w:line="50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竞争性磋商要求的必须提供的其他材料</w:t>
            </w:r>
          </w:p>
        </w:tc>
        <w:tc>
          <w:tcPr>
            <w:tcW w:w="1440"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扫描件/原件</w:t>
            </w:r>
          </w:p>
        </w:tc>
        <w:tc>
          <w:tcPr>
            <w:tcW w:w="962"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自拟</w:t>
            </w:r>
          </w:p>
        </w:tc>
        <w:tc>
          <w:tcPr>
            <w:tcW w:w="723" w:type="dxa"/>
            <w:tcBorders>
              <w:right w:val="double" w:color="auto" w:sz="4" w:space="0"/>
            </w:tcBorders>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31" w:type="dxa"/>
            <w:tcBorders>
              <w:left w:val="double" w:color="auto" w:sz="4" w:space="0"/>
              <w:bottom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材料</w:t>
            </w:r>
          </w:p>
        </w:tc>
        <w:tc>
          <w:tcPr>
            <w:tcW w:w="4824" w:type="dxa"/>
            <w:tcBorders>
              <w:bottom w:val="double" w:color="auto" w:sz="4" w:space="0"/>
            </w:tcBorders>
            <w:vAlign w:val="center"/>
          </w:tcPr>
          <w:p>
            <w:pPr>
              <w:widowControl/>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供应商认为有必要且能响应评分细则中各项要求的其他材料</w:t>
            </w:r>
          </w:p>
        </w:tc>
        <w:tc>
          <w:tcPr>
            <w:tcW w:w="1440" w:type="dxa"/>
            <w:tcBorders>
              <w:bottom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扫描件</w:t>
            </w:r>
          </w:p>
        </w:tc>
        <w:tc>
          <w:tcPr>
            <w:tcW w:w="962" w:type="dxa"/>
            <w:tcBorders>
              <w:bottom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自拟</w:t>
            </w:r>
          </w:p>
        </w:tc>
        <w:tc>
          <w:tcPr>
            <w:tcW w:w="723" w:type="dxa"/>
            <w:tcBorders>
              <w:bottom w:val="double" w:color="auto" w:sz="4" w:space="0"/>
              <w:right w:val="doub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r>
    </w:tbl>
    <w:p>
      <w:pPr>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重要提示：</w:t>
      </w:r>
    </w:p>
    <w:p>
      <w:pPr>
        <w:spacing w:line="500" w:lineRule="exact"/>
        <w:ind w:firstLine="560" w:firstLineChars="200"/>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1.供应商提供的证明材料，除需要供应商填报或有特殊说明外，均须提供该材料的</w:t>
      </w:r>
      <w:r>
        <w:rPr>
          <w:rFonts w:hint="eastAsia" w:ascii="仿宋_GB2312" w:hAnsi="宋体" w:eastAsia="仿宋_GB2312" w:cs="Lucida Sans Unicode"/>
          <w:color w:val="auto"/>
          <w:sz w:val="28"/>
          <w:szCs w:val="28"/>
          <w:highlight w:val="none"/>
          <w:lang w:val="en-US" w:eastAsia="zh-CN"/>
        </w:rPr>
        <w:t>扫描件</w:t>
      </w:r>
      <w:r>
        <w:rPr>
          <w:rFonts w:hint="eastAsia" w:ascii="仿宋_GB2312" w:hAnsi="宋体" w:eastAsia="仿宋_GB2312" w:cs="Lucida Sans Unicode"/>
          <w:color w:val="auto"/>
          <w:sz w:val="28"/>
          <w:szCs w:val="28"/>
          <w:highlight w:val="none"/>
        </w:rPr>
        <w:t xml:space="preserve">。 </w:t>
      </w:r>
    </w:p>
    <w:p>
      <w:pPr>
        <w:snapToGrid w:val="0"/>
        <w:spacing w:line="500" w:lineRule="exact"/>
        <w:ind w:firstLine="560" w:firstLineChars="200"/>
        <w:rPr>
          <w:rFonts w:hint="eastAsia"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2．供应商在编制响应性文件时，对于给定格式的文件内容，必须按照给定的标准格式进行填报；对于没有给定标准格式的文件内容，可以由供应商自行设计。</w:t>
      </w:r>
    </w:p>
    <w:p>
      <w:pPr>
        <w:snapToGrid w:val="0"/>
        <w:spacing w:line="500" w:lineRule="exact"/>
        <w:ind w:firstLine="560" w:firstLineChars="200"/>
        <w:rPr>
          <w:rFonts w:hint="eastAsia"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3.以上材料要求提供原件的，原件</w:t>
      </w:r>
      <w:r>
        <w:rPr>
          <w:rFonts w:hint="eastAsia" w:ascii="仿宋_GB2312" w:hAnsi="宋体" w:eastAsia="仿宋_GB2312" w:cs="Lucida Sans Unicode"/>
          <w:color w:val="auto"/>
          <w:sz w:val="28"/>
          <w:szCs w:val="28"/>
          <w:highlight w:val="none"/>
          <w:lang w:val="en-US" w:eastAsia="zh-CN"/>
        </w:rPr>
        <w:t>扫描件</w:t>
      </w:r>
      <w:r>
        <w:rPr>
          <w:rFonts w:hint="eastAsia" w:ascii="仿宋_GB2312" w:hAnsi="宋体" w:eastAsia="仿宋_GB2312" w:cs="Lucida Sans Unicode"/>
          <w:color w:val="auto"/>
          <w:sz w:val="28"/>
          <w:szCs w:val="28"/>
          <w:highlight w:val="none"/>
        </w:rPr>
        <w:t>须</w:t>
      </w:r>
      <w:r>
        <w:rPr>
          <w:rFonts w:hint="eastAsia" w:ascii="仿宋_GB2312" w:hAnsi="宋体" w:eastAsia="仿宋_GB2312" w:cs="Lucida Sans Unicode"/>
          <w:color w:val="auto"/>
          <w:sz w:val="28"/>
          <w:szCs w:val="28"/>
          <w:highlight w:val="none"/>
          <w:lang w:val="en-US" w:eastAsia="zh-CN"/>
        </w:rPr>
        <w:t>编制</w:t>
      </w:r>
      <w:r>
        <w:rPr>
          <w:rFonts w:hint="eastAsia" w:ascii="仿宋_GB2312" w:hAnsi="宋体" w:eastAsia="仿宋_GB2312" w:cs="Lucida Sans Unicode"/>
          <w:color w:val="auto"/>
          <w:sz w:val="28"/>
          <w:szCs w:val="28"/>
          <w:highlight w:val="none"/>
        </w:rPr>
        <w:t>于</w:t>
      </w:r>
      <w:r>
        <w:rPr>
          <w:rFonts w:hint="eastAsia" w:ascii="仿宋_GB2312" w:hAnsi="宋体" w:eastAsia="仿宋_GB2312" w:cs="Lucida Sans Unicode"/>
          <w:color w:val="auto"/>
          <w:sz w:val="28"/>
          <w:szCs w:val="28"/>
          <w:highlight w:val="none"/>
          <w:lang w:val="en-US" w:eastAsia="zh-CN"/>
        </w:rPr>
        <w:t>响应性</w:t>
      </w:r>
      <w:r>
        <w:rPr>
          <w:rFonts w:hint="eastAsia" w:ascii="仿宋_GB2312" w:hAnsi="宋体" w:eastAsia="仿宋_GB2312" w:cs="Lucida Sans Unicode"/>
          <w:color w:val="auto"/>
          <w:sz w:val="28"/>
          <w:szCs w:val="28"/>
          <w:highlight w:val="none"/>
        </w:rPr>
        <w:t>文件内；要求提供</w:t>
      </w:r>
      <w:r>
        <w:rPr>
          <w:rFonts w:hint="eastAsia" w:ascii="仿宋_GB2312" w:hAnsi="宋体" w:eastAsia="仿宋_GB2312" w:cs="Lucida Sans Unicode"/>
          <w:color w:val="auto"/>
          <w:sz w:val="28"/>
          <w:szCs w:val="28"/>
          <w:highlight w:val="none"/>
          <w:lang w:val="en-US" w:eastAsia="zh-CN"/>
        </w:rPr>
        <w:t>扫描件</w:t>
      </w:r>
      <w:r>
        <w:rPr>
          <w:rFonts w:hint="eastAsia" w:ascii="仿宋_GB2312" w:hAnsi="宋体" w:eastAsia="仿宋_GB2312" w:cs="Lucida Sans Unicode"/>
          <w:color w:val="auto"/>
          <w:sz w:val="28"/>
          <w:szCs w:val="28"/>
          <w:highlight w:val="none"/>
        </w:rPr>
        <w:t>的，</w:t>
      </w:r>
      <w:r>
        <w:rPr>
          <w:rFonts w:hint="eastAsia" w:ascii="仿宋_GB2312" w:hAnsi="宋体" w:eastAsia="仿宋_GB2312" w:cs="Lucida Sans Unicode"/>
          <w:color w:val="auto"/>
          <w:sz w:val="28"/>
          <w:szCs w:val="28"/>
          <w:highlight w:val="none"/>
          <w:lang w:val="en-US" w:eastAsia="zh-CN"/>
        </w:rPr>
        <w:t>扫描件编制</w:t>
      </w:r>
      <w:r>
        <w:rPr>
          <w:rFonts w:hint="eastAsia" w:ascii="仿宋_GB2312" w:hAnsi="宋体" w:eastAsia="仿宋_GB2312" w:cs="Lucida Sans Unicode"/>
          <w:color w:val="auto"/>
          <w:sz w:val="28"/>
          <w:szCs w:val="28"/>
          <w:highlight w:val="none"/>
        </w:rPr>
        <w:t>于</w:t>
      </w:r>
      <w:r>
        <w:rPr>
          <w:rFonts w:hint="eastAsia" w:ascii="仿宋_GB2312" w:hAnsi="宋体" w:eastAsia="仿宋_GB2312" w:cs="Lucida Sans Unicode"/>
          <w:color w:val="auto"/>
          <w:sz w:val="28"/>
          <w:szCs w:val="28"/>
          <w:highlight w:val="none"/>
          <w:lang w:val="en-US" w:eastAsia="zh-CN"/>
        </w:rPr>
        <w:t>响应性</w:t>
      </w:r>
      <w:r>
        <w:rPr>
          <w:rFonts w:hint="eastAsia" w:ascii="仿宋_GB2312" w:hAnsi="宋体" w:eastAsia="仿宋_GB2312" w:cs="Lucida Sans Unicode"/>
          <w:color w:val="auto"/>
          <w:sz w:val="28"/>
          <w:szCs w:val="28"/>
          <w:highlight w:val="none"/>
        </w:rPr>
        <w:t>文件内。法定代表人本人参加</w:t>
      </w:r>
      <w:r>
        <w:rPr>
          <w:rFonts w:hint="eastAsia" w:ascii="仿宋_GB2312" w:hAnsi="宋体" w:eastAsia="仿宋_GB2312" w:cs="Lucida Sans Unicode"/>
          <w:color w:val="auto"/>
          <w:sz w:val="28"/>
          <w:szCs w:val="28"/>
          <w:highlight w:val="none"/>
          <w:lang w:val="en-US" w:eastAsia="zh-CN"/>
        </w:rPr>
        <w:t>磋商</w:t>
      </w:r>
      <w:r>
        <w:rPr>
          <w:rFonts w:hint="eastAsia" w:ascii="仿宋_GB2312" w:hAnsi="宋体" w:eastAsia="仿宋_GB2312" w:cs="Lucida Sans Unicode"/>
          <w:color w:val="auto"/>
          <w:sz w:val="28"/>
          <w:szCs w:val="28"/>
          <w:highlight w:val="none"/>
        </w:rPr>
        <w:t>的，不需提供授权委托书。</w:t>
      </w:r>
    </w:p>
    <w:p>
      <w:pPr>
        <w:snapToGrid w:val="0"/>
        <w:spacing w:line="500" w:lineRule="exact"/>
        <w:ind w:firstLine="560" w:firstLineChars="200"/>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4.以上有关材料原件因年检、换证等原因在评审时不能提供的，可以提供发证机关的书面证明材料，并</w:t>
      </w:r>
      <w:r>
        <w:rPr>
          <w:rFonts w:hint="eastAsia" w:ascii="仿宋_GB2312" w:hAnsi="宋体" w:eastAsia="仿宋_GB2312" w:cs="Lucida Sans Unicode"/>
          <w:color w:val="auto"/>
          <w:sz w:val="28"/>
          <w:szCs w:val="28"/>
          <w:highlight w:val="none"/>
          <w:lang w:val="en-US" w:eastAsia="zh-CN"/>
        </w:rPr>
        <w:t>编制</w:t>
      </w:r>
      <w:r>
        <w:rPr>
          <w:rFonts w:hint="eastAsia" w:ascii="仿宋_GB2312" w:hAnsi="宋体" w:eastAsia="仿宋_GB2312" w:cs="Lucida Sans Unicode"/>
          <w:color w:val="auto"/>
          <w:sz w:val="28"/>
          <w:szCs w:val="28"/>
          <w:highlight w:val="none"/>
        </w:rPr>
        <w:t>于响应性文件内。</w:t>
      </w:r>
    </w:p>
    <w:p>
      <w:pPr>
        <w:snapToGrid w:val="0"/>
        <w:spacing w:line="500" w:lineRule="exact"/>
        <w:ind w:firstLine="560" w:firstLineChars="200"/>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5.三证合一的营业执照无需提供税务登记证、组织机构代码证。</w:t>
      </w:r>
    </w:p>
    <w:p>
      <w:pPr>
        <w:snapToGrid w:val="0"/>
        <w:jc w:val="left"/>
        <w:rPr>
          <w:rFonts w:ascii="仿宋_GB2312" w:hAnsi="宋体" w:eastAsia="仿宋_GB2312" w:cs="Lucida Sans Unicode"/>
          <w:color w:val="auto"/>
          <w:sz w:val="30"/>
          <w:szCs w:val="30"/>
          <w:highlight w:val="none"/>
        </w:rPr>
      </w:pPr>
    </w:p>
    <w:p>
      <w:pPr>
        <w:snapToGrid w:val="0"/>
        <w:jc w:val="left"/>
        <w:rPr>
          <w:rFonts w:ascii="仿宋_GB2312" w:hAnsi="宋体" w:eastAsia="仿宋_GB2312" w:cs="Lucida Sans Unicode"/>
          <w:color w:val="auto"/>
          <w:sz w:val="30"/>
          <w:szCs w:val="30"/>
          <w:highlight w:val="none"/>
        </w:rPr>
      </w:pPr>
    </w:p>
    <w:p>
      <w:pPr>
        <w:snapToGrid w:val="0"/>
        <w:jc w:val="left"/>
        <w:rPr>
          <w:rFonts w:ascii="仿宋_GB2312" w:hAnsi="宋体" w:eastAsia="仿宋_GB2312" w:cs="Lucida Sans Unicode"/>
          <w:color w:val="auto"/>
          <w:sz w:val="30"/>
          <w:szCs w:val="30"/>
          <w:highlight w:val="none"/>
        </w:rPr>
      </w:pPr>
    </w:p>
    <w:p>
      <w:pPr>
        <w:snapToGrid w:val="0"/>
        <w:jc w:val="left"/>
        <w:rPr>
          <w:rFonts w:hint="eastAsia" w:ascii="仿宋_GB2312" w:hAnsi="宋体" w:eastAsia="仿宋_GB2312" w:cs="Lucida Sans Unicode"/>
          <w:color w:val="auto"/>
          <w:sz w:val="30"/>
          <w:szCs w:val="30"/>
          <w:highlight w:val="none"/>
        </w:rPr>
      </w:pPr>
    </w:p>
    <w:p>
      <w:pPr>
        <w:snapToGrid w:val="0"/>
        <w:jc w:val="left"/>
        <w:rPr>
          <w:rFonts w:hint="eastAsia" w:ascii="仿宋_GB2312" w:hAnsi="宋体" w:eastAsia="仿宋_GB2312" w:cs="Lucida Sans Unicode"/>
          <w:color w:val="auto"/>
          <w:sz w:val="30"/>
          <w:szCs w:val="30"/>
          <w:highlight w:val="none"/>
        </w:rPr>
      </w:pPr>
    </w:p>
    <w:p>
      <w:pPr>
        <w:snapToGrid w:val="0"/>
        <w:jc w:val="left"/>
        <w:rPr>
          <w:rFonts w:hint="eastAsia" w:ascii="仿宋_GB2312" w:hAnsi="宋体" w:eastAsia="仿宋_GB2312" w:cs="Lucida Sans Unicode"/>
          <w:color w:val="auto"/>
          <w:sz w:val="28"/>
          <w:szCs w:val="28"/>
          <w:highlight w:val="none"/>
        </w:rPr>
      </w:pPr>
    </w:p>
    <w:p>
      <w:pPr>
        <w:snapToGrid w:val="0"/>
        <w:jc w:val="left"/>
        <w:rPr>
          <w:rFonts w:hint="eastAsia" w:ascii="仿宋_GB2312" w:hAnsi="宋体" w:eastAsia="仿宋_GB2312" w:cs="Lucida Sans Unicode"/>
          <w:color w:val="auto"/>
          <w:sz w:val="28"/>
          <w:szCs w:val="28"/>
          <w:highlight w:val="none"/>
        </w:rPr>
      </w:pPr>
    </w:p>
    <w:p>
      <w:pPr>
        <w:snapToGrid w:val="0"/>
        <w:jc w:val="left"/>
        <w:rPr>
          <w:rFonts w:hint="eastAsia" w:ascii="仿宋_GB2312" w:hAnsi="宋体" w:eastAsia="仿宋_GB2312" w:cs="Lucida Sans Unicode"/>
          <w:color w:val="auto"/>
          <w:sz w:val="28"/>
          <w:szCs w:val="28"/>
          <w:highlight w:val="none"/>
        </w:rPr>
      </w:pPr>
    </w:p>
    <w:p>
      <w:pPr>
        <w:pStyle w:val="47"/>
        <w:rPr>
          <w:rFonts w:hint="eastAsia" w:ascii="仿宋_GB2312" w:hAnsi="宋体" w:eastAsia="仿宋_GB2312" w:cs="Lucida Sans Unicode"/>
          <w:color w:val="auto"/>
          <w:sz w:val="28"/>
          <w:szCs w:val="28"/>
          <w:highlight w:val="none"/>
        </w:rPr>
      </w:pPr>
    </w:p>
    <w:p>
      <w:pPr>
        <w:pStyle w:val="47"/>
        <w:rPr>
          <w:rFonts w:hint="eastAsia" w:ascii="仿宋_GB2312" w:hAnsi="宋体" w:eastAsia="仿宋_GB2312" w:cs="Lucida Sans Unicode"/>
          <w:color w:val="auto"/>
          <w:sz w:val="28"/>
          <w:szCs w:val="28"/>
          <w:highlight w:val="none"/>
        </w:rPr>
      </w:pPr>
    </w:p>
    <w:p>
      <w:pPr>
        <w:snapToGrid w:val="0"/>
        <w:jc w:val="left"/>
        <w:rPr>
          <w:rFonts w:hint="eastAsia" w:ascii="仿宋_GB2312" w:hAnsi="宋体" w:eastAsia="仿宋_GB2312" w:cs="Lucida Sans Unicode"/>
          <w:color w:val="auto"/>
          <w:sz w:val="28"/>
          <w:szCs w:val="28"/>
          <w:highlight w:val="none"/>
        </w:rPr>
      </w:pPr>
    </w:p>
    <w:p>
      <w:pPr>
        <w:snapToGrid w:val="0"/>
        <w:jc w:val="left"/>
        <w:rPr>
          <w:rFonts w:hint="eastAsia" w:ascii="仿宋_GB2312" w:hAnsi="宋体" w:eastAsia="仿宋_GB2312" w:cs="Lucida Sans Unicode"/>
          <w:color w:val="auto"/>
          <w:sz w:val="28"/>
          <w:szCs w:val="28"/>
          <w:highlight w:val="none"/>
        </w:rPr>
      </w:pPr>
    </w:p>
    <w:p>
      <w:pPr>
        <w:snapToGrid w:val="0"/>
        <w:jc w:val="left"/>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格式1</w:t>
      </w:r>
    </w:p>
    <w:p>
      <w:pPr>
        <w:spacing w:line="360" w:lineRule="auto"/>
        <w:jc w:val="center"/>
        <w:rPr>
          <w:rFonts w:ascii="仿宋_GB2312" w:eastAsia="仿宋_GB2312"/>
          <w:color w:val="auto"/>
          <w:sz w:val="28"/>
          <w:szCs w:val="28"/>
          <w:highlight w:val="none"/>
        </w:rPr>
      </w:pPr>
      <w:r>
        <w:rPr>
          <w:rFonts w:hint="eastAsia" w:ascii="黑体" w:eastAsia="黑体"/>
          <w:color w:val="auto"/>
          <w:sz w:val="28"/>
          <w:szCs w:val="28"/>
          <w:highlight w:val="none"/>
        </w:rPr>
        <w:t>封  皮</w:t>
      </w:r>
    </w:p>
    <w:tbl>
      <w:tblPr>
        <w:tblStyle w:val="28"/>
        <w:tblW w:w="84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5" w:hRule="atLeast"/>
        </w:trPr>
        <w:tc>
          <w:tcPr>
            <w:tcW w:w="8460" w:type="dxa"/>
          </w:tcPr>
          <w:p>
            <w:pPr>
              <w:spacing w:line="360" w:lineRule="auto"/>
              <w:jc w:val="center"/>
              <w:rPr>
                <w:color w:val="auto"/>
                <w:sz w:val="28"/>
                <w:szCs w:val="28"/>
                <w:highlight w:val="none"/>
              </w:rPr>
            </w:pPr>
            <w:r>
              <w:rPr>
                <w:rFonts w:hint="eastAsia" w:ascii="仿宋_GB2312" w:eastAsia="仿宋_GB2312"/>
                <w:color w:val="auto"/>
                <w:sz w:val="28"/>
                <w:szCs w:val="28"/>
                <w:highlight w:val="none"/>
              </w:rPr>
              <w:t xml:space="preserve">                                </w:t>
            </w:r>
            <w:r>
              <w:rPr>
                <w:rFonts w:hint="eastAsia"/>
                <w:color w:val="auto"/>
                <w:sz w:val="28"/>
                <w:szCs w:val="28"/>
                <w:highlight w:val="none"/>
              </w:rPr>
              <w:t xml:space="preserve">           </w:t>
            </w:r>
          </w:p>
          <w:p>
            <w:pPr>
              <w:spacing w:line="360" w:lineRule="auto"/>
              <w:ind w:firstLine="140" w:firstLineChars="50"/>
              <w:rPr>
                <w:color w:val="auto"/>
                <w:sz w:val="28"/>
                <w:szCs w:val="28"/>
                <w:highlight w:val="none"/>
              </w:rPr>
            </w:pPr>
          </w:p>
          <w:p>
            <w:pPr>
              <w:spacing w:line="360" w:lineRule="auto"/>
              <w:jc w:val="center"/>
              <w:rPr>
                <w:color w:val="auto"/>
                <w:sz w:val="28"/>
                <w:szCs w:val="28"/>
                <w:highlight w:val="none"/>
              </w:rPr>
            </w:pPr>
            <w:r>
              <w:rPr>
                <w:rFonts w:hint="eastAsia"/>
                <w:color w:val="auto"/>
                <w:sz w:val="28"/>
                <w:szCs w:val="28"/>
                <w:highlight w:val="none"/>
              </w:rPr>
              <w:t>（项目名称）</w:t>
            </w:r>
          </w:p>
          <w:p>
            <w:pPr>
              <w:spacing w:line="360" w:lineRule="auto"/>
              <w:jc w:val="center"/>
              <w:rPr>
                <w:color w:val="auto"/>
                <w:sz w:val="28"/>
                <w:szCs w:val="28"/>
                <w:highlight w:val="none"/>
              </w:rPr>
            </w:pPr>
          </w:p>
          <w:p>
            <w:pPr>
              <w:pStyle w:val="4"/>
              <w:jc w:val="both"/>
              <w:rPr>
                <w:color w:val="auto"/>
                <w:sz w:val="28"/>
                <w:szCs w:val="28"/>
                <w:highlight w:val="none"/>
              </w:rPr>
            </w:pPr>
          </w:p>
          <w:p>
            <w:pPr>
              <w:rPr>
                <w:color w:val="auto"/>
                <w:highlight w:val="none"/>
              </w:rPr>
            </w:pPr>
          </w:p>
          <w:p>
            <w:pPr>
              <w:spacing w:line="360" w:lineRule="auto"/>
              <w:jc w:val="center"/>
              <w:rPr>
                <w:b/>
                <w:color w:val="auto"/>
                <w:sz w:val="28"/>
                <w:szCs w:val="28"/>
                <w:highlight w:val="none"/>
              </w:rPr>
            </w:pPr>
            <w:r>
              <w:rPr>
                <w:rFonts w:hint="eastAsia"/>
                <w:b/>
                <w:color w:val="auto"/>
                <w:sz w:val="28"/>
                <w:szCs w:val="28"/>
                <w:highlight w:val="none"/>
              </w:rPr>
              <w:t>响 应 性 文 件</w:t>
            </w:r>
          </w:p>
          <w:p>
            <w:pPr>
              <w:spacing w:line="360" w:lineRule="auto"/>
              <w:jc w:val="center"/>
              <w:rPr>
                <w:color w:val="auto"/>
                <w:sz w:val="28"/>
                <w:szCs w:val="28"/>
                <w:highlight w:val="none"/>
              </w:rPr>
            </w:pPr>
            <w:r>
              <w:rPr>
                <w:rFonts w:hint="eastAsia"/>
                <w:color w:val="auto"/>
                <w:sz w:val="28"/>
                <w:szCs w:val="28"/>
                <w:highlight w:val="none"/>
              </w:rPr>
              <w:t>（项目编号）</w:t>
            </w:r>
          </w:p>
          <w:p>
            <w:pPr>
              <w:spacing w:line="360" w:lineRule="auto"/>
              <w:ind w:firstLine="140" w:firstLineChars="50"/>
              <w:rPr>
                <w:color w:val="auto"/>
                <w:sz w:val="28"/>
                <w:szCs w:val="28"/>
                <w:highlight w:val="none"/>
              </w:rPr>
            </w:pPr>
          </w:p>
          <w:p>
            <w:pPr>
              <w:spacing w:line="360" w:lineRule="auto"/>
              <w:ind w:firstLine="140" w:firstLineChars="50"/>
              <w:rPr>
                <w:color w:val="auto"/>
                <w:sz w:val="28"/>
                <w:szCs w:val="28"/>
                <w:highlight w:val="none"/>
              </w:rPr>
            </w:pPr>
          </w:p>
          <w:p>
            <w:pPr>
              <w:spacing w:line="360" w:lineRule="auto"/>
              <w:ind w:firstLine="140" w:firstLineChars="50"/>
              <w:rPr>
                <w:color w:val="auto"/>
                <w:sz w:val="28"/>
                <w:szCs w:val="28"/>
                <w:highlight w:val="none"/>
              </w:rPr>
            </w:pPr>
          </w:p>
          <w:p>
            <w:pPr>
              <w:pStyle w:val="4"/>
              <w:rPr>
                <w:color w:val="auto"/>
                <w:sz w:val="28"/>
                <w:szCs w:val="28"/>
                <w:highlight w:val="none"/>
              </w:rPr>
            </w:pPr>
          </w:p>
          <w:p>
            <w:pPr>
              <w:rPr>
                <w:color w:val="auto"/>
                <w:sz w:val="28"/>
                <w:szCs w:val="28"/>
                <w:highlight w:val="none"/>
              </w:rPr>
            </w:pPr>
          </w:p>
          <w:p>
            <w:pPr>
              <w:pStyle w:val="4"/>
              <w:rPr>
                <w:color w:val="auto"/>
                <w:sz w:val="28"/>
                <w:szCs w:val="28"/>
                <w:highlight w:val="none"/>
              </w:rPr>
            </w:pPr>
          </w:p>
          <w:p>
            <w:pPr>
              <w:rPr>
                <w:color w:val="auto"/>
                <w:sz w:val="28"/>
                <w:szCs w:val="28"/>
                <w:highlight w:val="none"/>
              </w:rPr>
            </w:pPr>
          </w:p>
          <w:p>
            <w:pPr>
              <w:pStyle w:val="4"/>
              <w:rPr>
                <w:color w:val="auto"/>
              </w:rPr>
            </w:pPr>
          </w:p>
          <w:p>
            <w:pPr>
              <w:spacing w:line="360" w:lineRule="auto"/>
              <w:rPr>
                <w:color w:val="auto"/>
                <w:sz w:val="28"/>
                <w:szCs w:val="28"/>
                <w:highlight w:val="none"/>
              </w:rPr>
            </w:pPr>
          </w:p>
          <w:p>
            <w:pPr>
              <w:spacing w:line="360" w:lineRule="auto"/>
              <w:jc w:val="center"/>
              <w:rPr>
                <w:color w:val="auto"/>
                <w:sz w:val="28"/>
                <w:szCs w:val="28"/>
                <w:highlight w:val="none"/>
              </w:rPr>
            </w:pPr>
            <w:r>
              <w:rPr>
                <w:rFonts w:hint="eastAsia"/>
                <w:color w:val="auto"/>
                <w:sz w:val="28"/>
                <w:szCs w:val="28"/>
                <w:highlight w:val="none"/>
              </w:rPr>
              <w:t>供  应  商：</w:t>
            </w:r>
            <w:r>
              <w:rPr>
                <w:rFonts w:hint="eastAsia"/>
                <w:color w:val="auto"/>
                <w:sz w:val="28"/>
                <w:szCs w:val="28"/>
                <w:highlight w:val="none"/>
                <w:u w:val="single"/>
              </w:rPr>
              <w:t xml:space="preserve">  （全称）   </w:t>
            </w:r>
            <w:r>
              <w:rPr>
                <w:rFonts w:hint="eastAsia"/>
                <w:color w:val="auto"/>
                <w:sz w:val="28"/>
                <w:szCs w:val="28"/>
                <w:highlight w:val="none"/>
              </w:rPr>
              <w:t>（</w:t>
            </w:r>
            <w:r>
              <w:rPr>
                <w:rFonts w:hint="eastAsia"/>
                <w:color w:val="auto"/>
                <w:sz w:val="28"/>
                <w:szCs w:val="28"/>
                <w:highlight w:val="none"/>
                <w:lang w:val="en-US" w:eastAsia="zh-CN"/>
              </w:rPr>
              <w:t>单位公章</w:t>
            </w:r>
            <w:r>
              <w:rPr>
                <w:rFonts w:hint="eastAsia"/>
                <w:color w:val="auto"/>
                <w:sz w:val="28"/>
                <w:szCs w:val="28"/>
                <w:highlight w:val="none"/>
              </w:rPr>
              <w:t>）</w:t>
            </w:r>
          </w:p>
          <w:p>
            <w:pPr>
              <w:spacing w:line="360" w:lineRule="auto"/>
              <w:jc w:val="center"/>
              <w:rPr>
                <w:color w:val="auto"/>
                <w:sz w:val="28"/>
                <w:szCs w:val="28"/>
                <w:highlight w:val="none"/>
              </w:rPr>
            </w:pPr>
            <w:r>
              <w:rPr>
                <w:rFonts w:hint="eastAsia"/>
                <w:color w:val="auto"/>
                <w:sz w:val="28"/>
                <w:szCs w:val="28"/>
                <w:highlight w:val="none"/>
              </w:rPr>
              <w:t>法定代表人：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rPr>
              <w:t>（</w:t>
            </w:r>
            <w:r>
              <w:rPr>
                <w:rFonts w:hint="eastAsia"/>
                <w:color w:val="auto"/>
                <w:sz w:val="28"/>
                <w:szCs w:val="28"/>
                <w:highlight w:val="none"/>
                <w:lang w:val="en-US" w:eastAsia="zh-CN"/>
              </w:rPr>
              <w:t>电子签章</w:t>
            </w:r>
            <w:r>
              <w:rPr>
                <w:rFonts w:hint="eastAsia"/>
                <w:color w:val="auto"/>
                <w:sz w:val="28"/>
                <w:szCs w:val="28"/>
                <w:highlight w:val="none"/>
              </w:rPr>
              <w:t>）</w:t>
            </w:r>
          </w:p>
          <w:p>
            <w:pPr>
              <w:spacing w:line="360" w:lineRule="auto"/>
              <w:rPr>
                <w:color w:val="auto"/>
                <w:sz w:val="28"/>
                <w:szCs w:val="28"/>
                <w:highlight w:val="none"/>
              </w:rPr>
            </w:pPr>
            <w:r>
              <w:rPr>
                <w:rFonts w:hint="eastAsia"/>
                <w:color w:val="auto"/>
                <w:sz w:val="28"/>
                <w:szCs w:val="28"/>
                <w:highlight w:val="none"/>
              </w:rPr>
              <w:t xml:space="preserve">           地      址：</w:t>
            </w:r>
            <w:r>
              <w:rPr>
                <w:rFonts w:hint="eastAsia"/>
                <w:color w:val="auto"/>
                <w:sz w:val="28"/>
                <w:szCs w:val="28"/>
                <w:highlight w:val="none"/>
                <w:u w:val="single"/>
              </w:rPr>
              <w:t xml:space="preserve">                       </w:t>
            </w:r>
          </w:p>
          <w:p>
            <w:pPr>
              <w:spacing w:line="360" w:lineRule="auto"/>
              <w:rPr>
                <w:rFonts w:ascii="仿宋_GB2312" w:eastAsia="仿宋_GB2312"/>
                <w:color w:val="auto"/>
                <w:sz w:val="28"/>
                <w:szCs w:val="28"/>
                <w:highlight w:val="none"/>
              </w:rPr>
            </w:pPr>
            <w:r>
              <w:rPr>
                <w:rFonts w:hint="eastAsia"/>
                <w:color w:val="auto"/>
                <w:sz w:val="28"/>
                <w:szCs w:val="28"/>
                <w:highlight w:val="none"/>
              </w:rPr>
              <w:t xml:space="preserve">           日      期：</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tc>
      </w:tr>
    </w:tbl>
    <w:p>
      <w:pPr>
        <w:spacing w:line="360" w:lineRule="auto"/>
        <w:jc w:val="left"/>
        <w:rPr>
          <w:rFonts w:hint="eastAsia" w:ascii="仿宋_GB2312" w:hAnsi="宋体" w:eastAsia="仿宋_GB2312" w:cs="Lucida Sans Unicode"/>
          <w:color w:val="auto"/>
          <w:sz w:val="28"/>
          <w:szCs w:val="28"/>
          <w:highlight w:val="none"/>
        </w:rPr>
      </w:pPr>
    </w:p>
    <w:p>
      <w:pPr>
        <w:spacing w:line="360" w:lineRule="auto"/>
        <w:jc w:val="left"/>
        <w:rPr>
          <w:rFonts w:hint="eastAsia" w:ascii="仿宋_GB2312" w:hAnsi="宋体" w:eastAsia="仿宋_GB2312" w:cs="Lucida Sans Unicode"/>
          <w:color w:val="auto"/>
          <w:sz w:val="28"/>
          <w:szCs w:val="28"/>
          <w:highlight w:val="none"/>
        </w:rPr>
      </w:pPr>
    </w:p>
    <w:p>
      <w:pPr>
        <w:spacing w:line="360" w:lineRule="auto"/>
        <w:jc w:val="left"/>
        <w:rPr>
          <w:rFonts w:hint="eastAsia" w:ascii="仿宋_GB2312" w:hAnsi="宋体" w:eastAsia="仿宋_GB2312" w:cs="Lucida Sans Unicode"/>
          <w:color w:val="auto"/>
          <w:sz w:val="28"/>
          <w:szCs w:val="28"/>
          <w:highlight w:val="none"/>
          <w:lang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2</w:t>
      </w:r>
    </w:p>
    <w:p>
      <w:pPr>
        <w:spacing w:line="360" w:lineRule="auto"/>
        <w:jc w:val="left"/>
        <w:rPr>
          <w:rFonts w:ascii="仿宋_GB2312" w:hAnsi="宋体" w:eastAsia="仿宋_GB2312" w:cs="Lucida Sans Unicode"/>
          <w:color w:val="auto"/>
          <w:sz w:val="28"/>
          <w:szCs w:val="28"/>
          <w:highlight w:val="none"/>
        </w:rPr>
      </w:pPr>
    </w:p>
    <w:p>
      <w:pPr>
        <w:spacing w:line="560" w:lineRule="exact"/>
        <w:jc w:val="center"/>
        <w:rPr>
          <w:rFonts w:ascii="黑体" w:eastAsia="黑体"/>
          <w:color w:val="auto"/>
          <w:sz w:val="28"/>
          <w:szCs w:val="28"/>
          <w:highlight w:val="none"/>
        </w:rPr>
      </w:pPr>
      <w:r>
        <w:rPr>
          <w:rFonts w:hint="eastAsia" w:ascii="黑体" w:eastAsia="黑体"/>
          <w:color w:val="auto"/>
          <w:sz w:val="28"/>
          <w:szCs w:val="28"/>
          <w:highlight w:val="none"/>
        </w:rPr>
        <w:t>响应性文件目录</w:t>
      </w:r>
    </w:p>
    <w:p>
      <w:pPr>
        <w:widowControl/>
        <w:spacing w:line="480" w:lineRule="exact"/>
        <w:ind w:firstLine="627" w:firstLineChars="224"/>
        <w:rPr>
          <w:rFonts w:ascii="仿宋" w:hAnsi="仿宋" w:eastAsia="仿宋" w:cs="Lucida Sans Unicode"/>
          <w:color w:val="auto"/>
          <w:sz w:val="28"/>
          <w:szCs w:val="28"/>
          <w:highlight w:val="none"/>
        </w:rPr>
      </w:pPr>
    </w:p>
    <w:p>
      <w:pPr>
        <w:widowControl/>
        <w:spacing w:line="480" w:lineRule="exact"/>
        <w:ind w:firstLine="627" w:firstLineChars="224"/>
        <w:outlineLvl w:val="0"/>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一、资格性证明材料</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1.1营业执照副本…………………………………………所在页码</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1.2税务登记证副本………………………………………所在页码</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1.3法定代表人身份证明书或授权委托书………………所在页码</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w:t>
      </w:r>
    </w:p>
    <w:p>
      <w:pPr>
        <w:widowControl/>
        <w:spacing w:line="480" w:lineRule="exact"/>
        <w:ind w:firstLine="627" w:firstLineChars="224"/>
        <w:outlineLvl w:val="0"/>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 xml:space="preserve"> 二、符合性证明材料</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2.1磋商承诺函……………………………………………所在页码</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2.2报价一览表……………………………………………所在页码</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w:t>
      </w:r>
    </w:p>
    <w:p>
      <w:pPr>
        <w:widowControl/>
        <w:spacing w:line="480" w:lineRule="exact"/>
        <w:ind w:firstLine="627" w:firstLineChars="224"/>
        <w:rPr>
          <w:rFonts w:ascii="仿宋" w:hAnsi="仿宋" w:eastAsia="仿宋" w:cs="Lucida Sans Unicode"/>
          <w:color w:val="auto"/>
          <w:sz w:val="28"/>
          <w:szCs w:val="28"/>
          <w:highlight w:val="none"/>
        </w:rPr>
      </w:pPr>
      <w:r>
        <w:rPr>
          <w:rFonts w:hint="eastAsia" w:ascii="仿宋" w:hAnsi="仿宋" w:eastAsia="仿宋"/>
          <w:color w:val="auto"/>
          <w:kern w:val="0"/>
          <w:sz w:val="28"/>
          <w:szCs w:val="28"/>
          <w:highlight w:val="none"/>
        </w:rPr>
        <w:t>2.X</w:t>
      </w:r>
      <w:r>
        <w:rPr>
          <w:rFonts w:hint="eastAsia" w:ascii="仿宋" w:hAnsi="仿宋" w:eastAsia="仿宋" w:cs="Lucida Sans Unicode"/>
          <w:color w:val="auto"/>
          <w:sz w:val="28"/>
          <w:szCs w:val="28"/>
          <w:highlight w:val="none"/>
        </w:rPr>
        <w:t>商务响应表……………………………………………所在页码</w:t>
      </w:r>
    </w:p>
    <w:p>
      <w:pPr>
        <w:widowControl/>
        <w:spacing w:line="480" w:lineRule="exact"/>
        <w:ind w:firstLine="627" w:firstLineChars="224"/>
        <w:outlineLvl w:val="0"/>
        <w:rPr>
          <w:rFonts w:ascii="仿宋" w:hAnsi="仿宋" w:eastAsia="仿宋" w:cs="Lucida Sans Unicode"/>
          <w:color w:val="auto"/>
          <w:sz w:val="28"/>
          <w:szCs w:val="28"/>
          <w:highlight w:val="none"/>
        </w:rPr>
      </w:pPr>
      <w:r>
        <w:rPr>
          <w:rFonts w:hint="eastAsia" w:ascii="仿宋" w:hAnsi="仿宋" w:eastAsia="仿宋" w:cs="Lucida Sans Unicode"/>
          <w:color w:val="auto"/>
          <w:sz w:val="28"/>
          <w:szCs w:val="28"/>
          <w:highlight w:val="none"/>
        </w:rPr>
        <w:t>三、其他材料</w:t>
      </w:r>
    </w:p>
    <w:p>
      <w:pPr>
        <w:widowControl/>
        <w:spacing w:line="480" w:lineRule="exact"/>
        <w:ind w:firstLine="627" w:firstLineChars="224"/>
        <w:rPr>
          <w:rFonts w:ascii="仿宋" w:hAnsi="仿宋" w:eastAsia="仿宋"/>
          <w:color w:val="auto"/>
          <w:sz w:val="28"/>
          <w:szCs w:val="28"/>
          <w:highlight w:val="none"/>
        </w:rPr>
      </w:pPr>
      <w:r>
        <w:rPr>
          <w:rFonts w:hint="eastAsia" w:ascii="仿宋" w:hAnsi="仿宋" w:eastAsia="仿宋" w:cs="Lucida Sans Unicode"/>
          <w:color w:val="auto"/>
          <w:sz w:val="28"/>
          <w:szCs w:val="28"/>
          <w:highlight w:val="none"/>
        </w:rPr>
        <w:t>……</w:t>
      </w:r>
    </w:p>
    <w:p>
      <w:pPr>
        <w:spacing w:line="360" w:lineRule="auto"/>
        <w:jc w:val="left"/>
        <w:rPr>
          <w:rFonts w:hint="eastAsia" w:ascii="仿宋_GB2312" w:hAnsi="宋体" w:eastAsia="仿宋_GB2312" w:cs="Lucida Sans Unicode"/>
          <w:color w:val="auto"/>
          <w:sz w:val="28"/>
          <w:szCs w:val="28"/>
          <w:highlight w:val="none"/>
          <w:lang w:eastAsia="zh-CN"/>
        </w:rPr>
      </w:pPr>
      <w:r>
        <w:rPr>
          <w:rFonts w:ascii="宋体" w:hAnsi="宋体"/>
          <w:color w:val="auto"/>
          <w:sz w:val="30"/>
          <w:szCs w:val="30"/>
          <w:highlight w:val="none"/>
        </w:rPr>
        <w:br w:type="page"/>
      </w: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3</w:t>
      </w:r>
    </w:p>
    <w:p>
      <w:pPr>
        <w:spacing w:line="360" w:lineRule="auto"/>
        <w:jc w:val="center"/>
        <w:rPr>
          <w:rFonts w:ascii="仿宋_GB2312" w:eastAsia="仿宋_GB2312"/>
          <w:color w:val="auto"/>
          <w:sz w:val="28"/>
          <w:szCs w:val="28"/>
          <w:highlight w:val="none"/>
        </w:rPr>
      </w:pPr>
      <w:r>
        <w:rPr>
          <w:rFonts w:hint="eastAsia" w:ascii="黑体" w:eastAsia="黑体"/>
          <w:color w:val="auto"/>
          <w:sz w:val="28"/>
          <w:szCs w:val="28"/>
          <w:highlight w:val="none"/>
        </w:rPr>
        <w:t>磋商承诺函</w:t>
      </w:r>
    </w:p>
    <w:p>
      <w:pPr>
        <w:adjustRightInd w:val="0"/>
        <w:spacing w:line="440" w:lineRule="exact"/>
        <w:textAlignment w:val="baseline"/>
        <w:rPr>
          <w:rFonts w:ascii="仿宋_GB2312" w:eastAsia="仿宋_GB2312"/>
          <w:color w:val="auto"/>
          <w:sz w:val="28"/>
          <w:szCs w:val="28"/>
          <w:highlight w:val="none"/>
        </w:rPr>
      </w:pPr>
    </w:p>
    <w:p>
      <w:pPr>
        <w:adjustRightInd w:val="0"/>
        <w:spacing w:line="560" w:lineRule="exact"/>
        <w:textAlignment w:val="baseline"/>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致：</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采购人</w:t>
      </w:r>
      <w:r>
        <w:rPr>
          <w:rFonts w:hint="eastAsia" w:ascii="仿宋_GB2312" w:eastAsia="仿宋_GB2312"/>
          <w:color w:val="auto"/>
          <w:sz w:val="28"/>
          <w:szCs w:val="28"/>
          <w:highlight w:val="none"/>
          <w:lang w:eastAsia="zh-CN"/>
        </w:rPr>
        <w:t>）</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根据贵方</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项目的磋商邀请（项目编号：</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），委托代理人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(全名、职务)代表</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(供应商名称、地址)提交下述文件，并对之负法律责任。</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据此函，承诺如下：</w:t>
      </w:r>
    </w:p>
    <w:p>
      <w:pPr>
        <w:numPr>
          <w:ilvl w:val="0"/>
          <w:numId w:val="0"/>
        </w:num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我们完全理解贵方不一定要接受最低报价，</w:t>
      </w:r>
      <w:r>
        <w:rPr>
          <w:rFonts w:hint="eastAsia" w:ascii="仿宋" w:hAnsi="仿宋" w:eastAsia="仿宋" w:cs="仿宋"/>
          <w:color w:val="auto"/>
          <w:sz w:val="28"/>
          <w:szCs w:val="28"/>
          <w:highlight w:val="none"/>
        </w:rPr>
        <w:t>保证报价不存在低于成本的恶意报价行为，</w:t>
      </w:r>
      <w:r>
        <w:rPr>
          <w:rFonts w:hint="eastAsia" w:ascii="仿宋_GB2312" w:eastAsia="仿宋_GB2312"/>
          <w:color w:val="auto"/>
          <w:sz w:val="28"/>
          <w:szCs w:val="28"/>
          <w:highlight w:val="none"/>
        </w:rPr>
        <w:t>并同意本文件规定的响应性文件有效期；</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2.保证响应性文件内容无任何虚假。若评审过程中查出有虚假，同意按无效处理并同意接受相关处罚；若成交之后查出有虚假的，同意被取消成交资格并愿意接受相关处罚；</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3.如果我们的响应性文件被接受，我们将履行磋商文件中规定的每一项要求，按期、按质、按量履行每项规定；</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4.我们已详细审查全部磋商文件，完全理解并同意放弃对这方面有不明及误解的权利；</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5.如果在规定的磋商会时间后，</w:t>
      </w:r>
      <w:r>
        <w:rPr>
          <w:rFonts w:hint="eastAsia" w:ascii="仿宋_GB2312" w:hAnsi="仿宋_GB2312" w:eastAsia="仿宋_GB2312" w:cs="仿宋_GB2312"/>
          <w:color w:val="auto"/>
          <w:sz w:val="28"/>
          <w:szCs w:val="28"/>
          <w:highlight w:val="none"/>
        </w:rPr>
        <w:t>至响应性文件有效期满前撤回响应性文件，</w:t>
      </w:r>
      <w:r>
        <w:rPr>
          <w:rFonts w:hint="eastAsia" w:ascii="仿宋_GB2312" w:eastAsia="仿宋_GB2312"/>
          <w:color w:val="auto"/>
          <w:sz w:val="28"/>
          <w:szCs w:val="28"/>
          <w:highlight w:val="none"/>
        </w:rPr>
        <w:t>我们</w:t>
      </w:r>
      <w:r>
        <w:rPr>
          <w:rFonts w:hint="eastAsia" w:ascii="仿宋_GB2312" w:hAnsi="仿宋_GB2312" w:eastAsia="仿宋_GB2312" w:cs="仿宋_GB2312"/>
          <w:color w:val="auto"/>
          <w:sz w:val="28"/>
          <w:szCs w:val="28"/>
          <w:highlight w:val="none"/>
        </w:rPr>
        <w:t>将自愿接受相关处罚</w:t>
      </w:r>
      <w:r>
        <w:rPr>
          <w:rFonts w:hint="eastAsia" w:eastAsia="仿宋_GB2312"/>
          <w:color w:val="auto"/>
          <w:sz w:val="28"/>
          <w:szCs w:val="28"/>
          <w:highlight w:val="none"/>
        </w:rPr>
        <w:t>；</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6.保证成交之后按照磋商文件的要求提供相关货物或服务，如有违法，同意接受相关处罚；</w:t>
      </w:r>
    </w:p>
    <w:p>
      <w:pPr>
        <w:autoSpaceDE w:val="0"/>
        <w:autoSpaceDN w:val="0"/>
        <w:adjustRightInd w:val="0"/>
        <w:spacing w:line="560" w:lineRule="exact"/>
        <w:ind w:firstLine="560" w:firstLineChars="200"/>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7.成交后保证在与采购人签订合同之日起7个工作日内将合同向采购代理机构备案。我单位保证项目验收合格之日起5个工作日内将验收证明（验收书）向采购代理机构备案；</w:t>
      </w:r>
    </w:p>
    <w:p>
      <w:pPr>
        <w:adjustRightInd w:val="0"/>
        <w:spacing w:line="560" w:lineRule="exact"/>
        <w:ind w:firstLine="560" w:firstLineChars="200"/>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8.保证成交之后按照磋商文件的要求提供相关货物或服务，如有违法或出现上述违背承诺的行为，我单位愿意接受按照国家法律法规等有关规定给予的处罚；</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9.与磋商有关的一切正式往来请寄：</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地址：                       邮箱：</w:t>
      </w:r>
    </w:p>
    <w:p>
      <w:pPr>
        <w:adjustRightInd w:val="0"/>
        <w:spacing w:line="560" w:lineRule="exact"/>
        <w:ind w:firstLine="560" w:firstLineChars="2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电话：                       传真：</w:t>
      </w:r>
    </w:p>
    <w:p>
      <w:pPr>
        <w:adjustRightInd w:val="0"/>
        <w:spacing w:line="560" w:lineRule="exact"/>
        <w:ind w:firstLine="3640" w:firstLineChars="13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供应商名称：（单位公章）  </w:t>
      </w:r>
    </w:p>
    <w:p>
      <w:pPr>
        <w:adjustRightInd w:val="0"/>
        <w:spacing w:line="560" w:lineRule="exact"/>
        <w:ind w:firstLine="3640" w:firstLineChars="1300"/>
        <w:textAlignment w:val="baseline"/>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w:t>
      </w:r>
    </w:p>
    <w:p>
      <w:pPr>
        <w:wordWrap w:val="0"/>
        <w:spacing w:line="360" w:lineRule="auto"/>
        <w:ind w:firstLine="560" w:firstLineChars="200"/>
        <w:jc w:val="righ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 xml:space="preserve">     年  月  日</w:t>
      </w:r>
      <w:r>
        <w:rPr>
          <w:rFonts w:hint="eastAsia" w:ascii="黑体" w:eastAsia="黑体"/>
          <w:color w:val="auto"/>
          <w:sz w:val="28"/>
          <w:szCs w:val="28"/>
          <w:highlight w:val="none"/>
        </w:rPr>
        <w:t xml:space="preserve"> </w:t>
      </w: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spacing w:line="360" w:lineRule="auto"/>
        <w:jc w:val="left"/>
        <w:rPr>
          <w:rFonts w:ascii="仿宋_GB2312" w:hAnsi="宋体" w:eastAsia="仿宋_GB2312" w:cs="Lucida Sans Unicode"/>
          <w:color w:val="auto"/>
          <w:sz w:val="28"/>
          <w:szCs w:val="28"/>
          <w:highlight w:val="none"/>
        </w:rPr>
      </w:pPr>
      <w:r>
        <w:rPr>
          <w:rFonts w:hint="eastAsia" w:ascii="仿宋_GB2312" w:eastAsia="仿宋_GB2312"/>
          <w:color w:val="auto"/>
          <w:sz w:val="30"/>
          <w:szCs w:val="30"/>
          <w:highlight w:val="none"/>
        </w:rPr>
        <w:br w:type="page"/>
      </w: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4</w:t>
      </w:r>
      <w:r>
        <w:rPr>
          <w:rFonts w:hint="eastAsia" w:ascii="仿宋_GB2312" w:hAnsi="宋体" w:eastAsia="仿宋_GB2312" w:cs="Lucida Sans Unicode"/>
          <w:color w:val="auto"/>
          <w:sz w:val="28"/>
          <w:szCs w:val="28"/>
          <w:highlight w:val="none"/>
        </w:rPr>
        <w:t>-1</w:t>
      </w:r>
    </w:p>
    <w:p>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法定代表人身份证明书</w:t>
      </w:r>
    </w:p>
    <w:p>
      <w:pPr>
        <w:spacing w:line="360" w:lineRule="auto"/>
        <w:jc w:val="center"/>
        <w:rPr>
          <w:rFonts w:ascii="黑体" w:eastAsia="黑体"/>
          <w:color w:val="auto"/>
          <w:sz w:val="28"/>
          <w:szCs w:val="28"/>
          <w:highlight w:val="none"/>
        </w:rPr>
      </w:pPr>
      <w:r>
        <w:rPr>
          <w:rFonts w:hint="eastAsia" w:ascii="仿宋_GB2312" w:hAnsi="仿宋_GB2312" w:eastAsia="仿宋_GB2312" w:cs="仿宋_GB2312"/>
          <w:color w:val="auto"/>
          <w:sz w:val="28"/>
          <w:szCs w:val="28"/>
          <w:highlight w:val="none"/>
        </w:rPr>
        <w:t>（法定代表人参加竞争性磋商的，出具此证明书）</w:t>
      </w: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同志，系我单位法定代表人，任</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职务。</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特此证明。</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附：联系地址：               </w:t>
      </w:r>
    </w:p>
    <w:p>
      <w:pPr>
        <w:spacing w:line="360" w:lineRule="auto"/>
        <w:ind w:firstLine="1120" w:firstLineChars="400"/>
        <w:rPr>
          <w:rFonts w:ascii="仿宋_GB2312" w:eastAsia="仿宋_GB2312"/>
          <w:b/>
          <w:color w:val="auto"/>
          <w:sz w:val="28"/>
          <w:szCs w:val="28"/>
          <w:highlight w:val="none"/>
        </w:rPr>
      </w:pPr>
      <w:r>
        <w:rPr>
          <w:rFonts w:hint="eastAsia" w:ascii="仿宋_GB2312" w:eastAsia="仿宋_GB2312"/>
          <w:color w:val="auto"/>
          <w:sz w:val="28"/>
          <w:szCs w:val="28"/>
          <w:highlight w:val="none"/>
        </w:rPr>
        <w:t>联系电话：</w:t>
      </w:r>
    </w:p>
    <w:tbl>
      <w:tblPr>
        <w:tblStyle w:val="2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rPr>
                <w:rFonts w:ascii="楷体_GB2312" w:hAnsi="楷体_GB2312" w:eastAsia="楷体_GB2312" w:cs="Lucida Sans Unicode"/>
                <w:b/>
                <w:bCs/>
                <w:color w:val="auto"/>
                <w:sz w:val="28"/>
                <w:szCs w:val="28"/>
                <w:highlight w:val="none"/>
              </w:rPr>
            </w:pPr>
          </w:p>
          <w:p>
            <w:pPr>
              <w:spacing w:line="480" w:lineRule="exact"/>
              <w:rPr>
                <w:rFonts w:ascii="楷体_GB2312" w:hAnsi="楷体_GB2312" w:eastAsia="楷体_GB2312" w:cs="Lucida Sans Unicode"/>
                <w:b/>
                <w:bCs/>
                <w:color w:val="auto"/>
                <w:sz w:val="28"/>
                <w:szCs w:val="28"/>
                <w:highlight w:val="none"/>
              </w:rPr>
            </w:pPr>
          </w:p>
          <w:p>
            <w:pPr>
              <w:spacing w:line="480" w:lineRule="exact"/>
              <w:jc w:val="center"/>
              <w:rPr>
                <w:rFonts w:ascii="楷体_GB2312" w:hAnsi="楷体_GB2312" w:eastAsia="楷体_GB2312" w:cs="Lucida Sans Unicode"/>
                <w:b/>
                <w:bCs/>
                <w:color w:val="auto"/>
                <w:sz w:val="28"/>
                <w:szCs w:val="28"/>
                <w:highlight w:val="none"/>
              </w:rPr>
            </w:pPr>
            <w:r>
              <w:rPr>
                <w:rFonts w:hint="eastAsia" w:ascii="楷体_GB2312" w:hAnsi="楷体_GB2312" w:eastAsia="楷体_GB2312" w:cs="Lucida Sans Unicode"/>
                <w:b/>
                <w:bCs/>
                <w:color w:val="auto"/>
                <w:sz w:val="28"/>
                <w:szCs w:val="28"/>
                <w:highlight w:val="none"/>
              </w:rPr>
              <w:t>（※附：法定代表人身份证复印件※）</w:t>
            </w:r>
          </w:p>
          <w:p>
            <w:pPr>
              <w:spacing w:line="480" w:lineRule="exact"/>
              <w:rPr>
                <w:rFonts w:ascii="仿宋_GB2312" w:hAnsi="Lucida Sans Unicode" w:eastAsia="仿宋_GB2312" w:cs="Lucida Sans Unicode"/>
                <w:color w:val="auto"/>
                <w:sz w:val="28"/>
                <w:szCs w:val="28"/>
                <w:highlight w:val="none"/>
              </w:rPr>
            </w:pPr>
          </w:p>
          <w:p>
            <w:pPr>
              <w:spacing w:line="480" w:lineRule="exact"/>
              <w:rPr>
                <w:rFonts w:ascii="仿宋_GB2312" w:hAnsi="Lucida Sans Unicode" w:eastAsia="仿宋_GB2312" w:cs="Lucida Sans Unicode"/>
                <w:color w:val="auto"/>
                <w:sz w:val="28"/>
                <w:szCs w:val="28"/>
                <w:highlight w:val="none"/>
              </w:rPr>
            </w:pPr>
          </w:p>
        </w:tc>
      </w:tr>
    </w:tbl>
    <w:p>
      <w:pPr>
        <w:spacing w:line="360" w:lineRule="auto"/>
        <w:ind w:firstLine="1124" w:firstLineChars="400"/>
        <w:rPr>
          <w:rFonts w:ascii="仿宋_GB2312" w:eastAsia="仿宋_GB2312"/>
          <w:color w:val="auto"/>
          <w:sz w:val="28"/>
          <w:szCs w:val="28"/>
          <w:highlight w:val="none"/>
        </w:rPr>
      </w:pPr>
      <w:r>
        <w:rPr>
          <w:rFonts w:hint="eastAsia" w:ascii="仿宋_GB2312" w:eastAsia="仿宋_GB2312"/>
          <w:b/>
          <w:color w:val="auto"/>
          <w:sz w:val="28"/>
          <w:szCs w:val="28"/>
          <w:highlight w:val="none"/>
        </w:rPr>
        <w:t xml:space="preserve">               </w:t>
      </w:r>
    </w:p>
    <w:p>
      <w:pPr>
        <w:spacing w:line="360" w:lineRule="auto"/>
        <w:ind w:firstLine="4480" w:firstLineChars="1600"/>
        <w:rPr>
          <w:rFonts w:ascii="仿宋_GB2312" w:eastAsia="仿宋_GB2312"/>
          <w:color w:val="auto"/>
          <w:sz w:val="28"/>
          <w:szCs w:val="28"/>
          <w:highlight w:val="none"/>
        </w:rPr>
      </w:pPr>
    </w:p>
    <w:p>
      <w:pPr>
        <w:spacing w:line="360" w:lineRule="auto"/>
        <w:ind w:firstLine="4480" w:firstLineChars="1600"/>
        <w:rPr>
          <w:rFonts w:ascii="仿宋_GB2312" w:eastAsia="仿宋_GB2312"/>
          <w:color w:val="auto"/>
          <w:sz w:val="28"/>
          <w:szCs w:val="28"/>
          <w:highlight w:val="none"/>
        </w:rPr>
      </w:pPr>
    </w:p>
    <w:p>
      <w:pPr>
        <w:spacing w:line="360" w:lineRule="auto"/>
        <w:ind w:firstLine="4480" w:firstLineChars="1600"/>
        <w:rPr>
          <w:rFonts w:ascii="仿宋_GB2312" w:eastAsia="仿宋_GB2312"/>
          <w:color w:val="auto"/>
          <w:sz w:val="28"/>
          <w:szCs w:val="28"/>
          <w:highlight w:val="none"/>
        </w:rPr>
      </w:pPr>
    </w:p>
    <w:p>
      <w:pPr>
        <w:spacing w:line="360" w:lineRule="auto"/>
        <w:jc w:val="center"/>
        <w:rPr>
          <w:rFonts w:ascii="仿宋_GB2312" w:eastAsia="仿宋_GB2312"/>
          <w:color w:val="auto"/>
          <w:sz w:val="28"/>
          <w:szCs w:val="28"/>
          <w:highlight w:val="none"/>
        </w:rPr>
      </w:pPr>
    </w:p>
    <w:p>
      <w:pPr>
        <w:spacing w:line="360" w:lineRule="auto"/>
        <w:jc w:val="center"/>
        <w:rPr>
          <w:rFonts w:ascii="仿宋_GB2312" w:eastAsia="仿宋_GB2312"/>
          <w:color w:val="auto"/>
          <w:sz w:val="28"/>
          <w:szCs w:val="28"/>
          <w:highlight w:val="none"/>
        </w:rPr>
      </w:pPr>
    </w:p>
    <w:p>
      <w:pPr>
        <w:spacing w:line="360" w:lineRule="auto"/>
        <w:jc w:val="center"/>
        <w:rPr>
          <w:rFonts w:ascii="仿宋_GB2312" w:eastAsia="仿宋_GB2312"/>
          <w:color w:val="auto"/>
          <w:sz w:val="28"/>
          <w:szCs w:val="28"/>
          <w:highlight w:val="none"/>
        </w:rPr>
      </w:pPr>
    </w:p>
    <w:p>
      <w:pPr>
        <w:spacing w:line="360" w:lineRule="auto"/>
        <w:ind w:firstLine="4480" w:firstLineChars="16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供应商名称（单位公章）： </w:t>
      </w:r>
    </w:p>
    <w:p>
      <w:pPr>
        <w:spacing w:line="360" w:lineRule="auto"/>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w:t>
      </w:r>
    </w:p>
    <w:p>
      <w:pPr>
        <w:spacing w:line="360" w:lineRule="auto"/>
        <w:jc w:val="center"/>
        <w:rPr>
          <w:rFonts w:ascii="仿宋_GB2312" w:eastAsia="仿宋_GB2312"/>
          <w:color w:val="auto"/>
          <w:sz w:val="30"/>
          <w:szCs w:val="30"/>
          <w:highlight w:val="none"/>
        </w:rPr>
      </w:pPr>
    </w:p>
    <w:p>
      <w:pPr>
        <w:spacing w:line="360" w:lineRule="auto"/>
        <w:rPr>
          <w:rFonts w:ascii="仿宋_GB2312" w:eastAsia="仿宋_GB2312"/>
          <w:color w:val="auto"/>
          <w:sz w:val="30"/>
          <w:szCs w:val="30"/>
          <w:highlight w:val="none"/>
        </w:rPr>
      </w:pPr>
    </w:p>
    <w:p>
      <w:pPr>
        <w:spacing w:line="360" w:lineRule="auto"/>
        <w:rPr>
          <w:rFonts w:ascii="仿宋_GB2312" w:eastAsia="仿宋_GB2312"/>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4</w:t>
      </w:r>
      <w:r>
        <w:rPr>
          <w:rFonts w:hint="eastAsia" w:ascii="仿宋_GB2312" w:hAnsi="宋体" w:eastAsia="仿宋_GB2312" w:cs="Lucida Sans Unicode"/>
          <w:color w:val="auto"/>
          <w:sz w:val="28"/>
          <w:szCs w:val="28"/>
          <w:highlight w:val="none"/>
        </w:rPr>
        <w:t>-2</w:t>
      </w:r>
    </w:p>
    <w:p>
      <w:pPr>
        <w:spacing w:line="360" w:lineRule="auto"/>
        <w:ind w:firstLine="560" w:firstLineChars="200"/>
        <w:jc w:val="center"/>
        <w:rPr>
          <w:rFonts w:ascii="黑体" w:eastAsia="黑体"/>
          <w:color w:val="auto"/>
          <w:sz w:val="28"/>
          <w:szCs w:val="28"/>
          <w:highlight w:val="none"/>
        </w:rPr>
      </w:pPr>
      <w:r>
        <w:rPr>
          <w:rFonts w:hint="eastAsia" w:ascii="黑体" w:eastAsia="黑体"/>
          <w:color w:val="auto"/>
          <w:sz w:val="28"/>
          <w:szCs w:val="28"/>
          <w:highlight w:val="none"/>
        </w:rPr>
        <w:t>授权委托书</w:t>
      </w:r>
    </w:p>
    <w:p>
      <w:pPr>
        <w:spacing w:line="360" w:lineRule="auto"/>
        <w:jc w:val="center"/>
        <w:rPr>
          <w:rFonts w:ascii="黑体" w:eastAsia="黑体"/>
          <w:color w:val="auto"/>
          <w:sz w:val="28"/>
          <w:szCs w:val="28"/>
          <w:highlight w:val="none"/>
        </w:rPr>
      </w:pPr>
      <w:r>
        <w:rPr>
          <w:rFonts w:hint="eastAsia" w:ascii="仿宋_GB2312" w:hAnsi="仿宋_GB2312" w:eastAsia="仿宋_GB2312" w:cs="仿宋_GB2312"/>
          <w:color w:val="auto"/>
          <w:sz w:val="28"/>
          <w:szCs w:val="28"/>
          <w:highlight w:val="none"/>
        </w:rPr>
        <w:t>（委托代理人参加竞争性磋商的，出具此证明书）</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委托人授权</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（被委托人的姓名、职务）为委托人的委托代理人，就项目编号为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号的</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项目及合同的执行，以本单位名义处理一切与之有关的事务。</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本授权书于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日签字生效，特此声明。</w:t>
      </w:r>
    </w:p>
    <w:p>
      <w:pPr>
        <w:spacing w:line="360" w:lineRule="auto"/>
        <w:rPr>
          <w:rFonts w:ascii="仿宋_GB2312" w:eastAsia="仿宋_GB2312"/>
          <w:color w:val="auto"/>
          <w:sz w:val="28"/>
          <w:szCs w:val="28"/>
          <w:highlight w:val="none"/>
        </w:rPr>
      </w:pPr>
    </w:p>
    <w:p>
      <w:pPr>
        <w:spacing w:line="360" w:lineRule="auto"/>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委托人：单位名称（单位公章）           被委托人：</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签字</w:t>
      </w:r>
      <w:r>
        <w:rPr>
          <w:rFonts w:hint="eastAsia" w:ascii="仿宋_GB2312" w:eastAsia="仿宋_GB2312"/>
          <w:color w:val="auto"/>
          <w:sz w:val="28"/>
          <w:szCs w:val="28"/>
          <w:highlight w:val="none"/>
          <w:lang w:eastAsia="zh-CN"/>
        </w:rPr>
        <w:t>）</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楷体_GB2312" w:hAnsi="楷体_GB2312" w:eastAsia="楷体_GB2312" w:cs="Lucida Sans Unicode"/>
                <w:b/>
                <w:bCs/>
                <w:color w:val="auto"/>
                <w:sz w:val="28"/>
                <w:szCs w:val="28"/>
                <w:highlight w:val="none"/>
              </w:rPr>
            </w:pPr>
          </w:p>
          <w:p>
            <w:pPr>
              <w:spacing w:line="480" w:lineRule="exact"/>
              <w:rPr>
                <w:rFonts w:ascii="楷体_GB2312" w:hAnsi="楷体_GB2312" w:eastAsia="楷体_GB2312" w:cs="Lucida Sans Unicode"/>
                <w:b/>
                <w:bCs/>
                <w:color w:val="auto"/>
                <w:sz w:val="28"/>
                <w:szCs w:val="28"/>
                <w:highlight w:val="none"/>
              </w:rPr>
            </w:pPr>
          </w:p>
          <w:p>
            <w:pPr>
              <w:spacing w:line="480" w:lineRule="exact"/>
              <w:jc w:val="center"/>
              <w:rPr>
                <w:rFonts w:ascii="仿宋_GB2312" w:hAnsi="Lucida Sans Unicode" w:eastAsia="仿宋_GB2312" w:cs="Lucida Sans Unicode"/>
                <w:color w:val="auto"/>
                <w:sz w:val="28"/>
                <w:szCs w:val="28"/>
                <w:highlight w:val="none"/>
              </w:rPr>
            </w:pPr>
            <w:r>
              <w:rPr>
                <w:rFonts w:hint="eastAsia" w:ascii="楷体_GB2312" w:hAnsi="楷体_GB2312" w:eastAsia="楷体_GB2312" w:cs="Lucida Sans Unicode"/>
                <w:b/>
                <w:bCs/>
                <w:color w:val="auto"/>
                <w:sz w:val="28"/>
                <w:szCs w:val="28"/>
                <w:highlight w:val="none"/>
              </w:rPr>
              <w:t>（※附：被委托人身份证复印件※）</w:t>
            </w:r>
          </w:p>
        </w:tc>
      </w:tr>
    </w:tbl>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spacing w:line="360" w:lineRule="auto"/>
        <w:ind w:firstLine="5740" w:firstLineChars="205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spacing w:line="360" w:lineRule="auto"/>
        <w:jc w:val="center"/>
        <w:rPr>
          <w:rFonts w:ascii="仿宋_GB2312" w:eastAsia="仿宋_GB2312"/>
          <w:color w:val="auto"/>
          <w:sz w:val="28"/>
          <w:szCs w:val="28"/>
          <w:highlight w:val="none"/>
        </w:rPr>
      </w:pPr>
    </w:p>
    <w:p>
      <w:pPr>
        <w:spacing w:line="360" w:lineRule="auto"/>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w:t>
      </w:r>
    </w:p>
    <w:p>
      <w:pPr>
        <w:spacing w:line="360" w:lineRule="auto"/>
        <w:jc w:val="center"/>
        <w:rPr>
          <w:rFonts w:ascii="仿宋_GB2312" w:eastAsia="仿宋_GB2312"/>
          <w:color w:val="auto"/>
          <w:sz w:val="30"/>
          <w:szCs w:val="30"/>
          <w:highlight w:val="none"/>
        </w:rPr>
      </w:pPr>
    </w:p>
    <w:p>
      <w:pPr>
        <w:spacing w:line="360" w:lineRule="auto"/>
        <w:jc w:val="center"/>
        <w:rPr>
          <w:rFonts w:ascii="仿宋_GB2312" w:eastAsia="仿宋_GB2312"/>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hint="eastAsia" w:ascii="仿宋_GB2312" w:hAnsi="宋体" w:eastAsia="仿宋_GB2312" w:cs="Lucida Sans Unicode"/>
          <w:color w:val="auto"/>
          <w:sz w:val="28"/>
          <w:szCs w:val="28"/>
          <w:highlight w:val="none"/>
          <w:lang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5</w:t>
      </w:r>
    </w:p>
    <w:p>
      <w:pPr>
        <w:spacing w:line="360" w:lineRule="auto"/>
        <w:jc w:val="center"/>
        <w:rPr>
          <w:rFonts w:ascii="宋体" w:hAnsi="宋体"/>
          <w:b/>
          <w:color w:val="auto"/>
          <w:sz w:val="28"/>
          <w:szCs w:val="28"/>
          <w:highlight w:val="none"/>
        </w:rPr>
      </w:pPr>
      <w:r>
        <w:rPr>
          <w:rFonts w:hint="eastAsia" w:ascii="黑体" w:eastAsia="黑体"/>
          <w:color w:val="auto"/>
          <w:sz w:val="28"/>
          <w:szCs w:val="28"/>
          <w:highlight w:val="none"/>
        </w:rPr>
        <w:t>供应商公司基本情况简介</w:t>
      </w:r>
    </w:p>
    <w:tbl>
      <w:tblPr>
        <w:tblStyle w:val="28"/>
        <w:tblpPr w:leftFromText="180" w:rightFromText="180" w:vertAnchor="text" w:horzAnchor="margin" w:tblpXSpec="center" w:tblpY="24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80"/>
        <w:gridCol w:w="1080"/>
        <w:gridCol w:w="285"/>
        <w:gridCol w:w="531"/>
        <w:gridCol w:w="705"/>
        <w:gridCol w:w="809"/>
        <w:gridCol w:w="81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名称</w:t>
            </w:r>
          </w:p>
        </w:tc>
        <w:tc>
          <w:tcPr>
            <w:tcW w:w="6701" w:type="dxa"/>
            <w:gridSpan w:val="8"/>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2445" w:type="dxa"/>
            <w:gridSpan w:val="3"/>
            <w:vAlign w:val="center"/>
          </w:tcPr>
          <w:p>
            <w:pPr>
              <w:spacing w:line="360" w:lineRule="auto"/>
              <w:jc w:val="center"/>
              <w:rPr>
                <w:rFonts w:hint="eastAsia" w:ascii="宋体" w:hAnsi="宋体" w:eastAsia="宋体" w:cs="宋体"/>
                <w:color w:val="auto"/>
                <w:sz w:val="21"/>
                <w:szCs w:val="21"/>
                <w:highlight w:val="none"/>
              </w:rPr>
            </w:pPr>
          </w:p>
        </w:tc>
        <w:tc>
          <w:tcPr>
            <w:tcW w:w="1236"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3020" w:type="dxa"/>
            <w:gridSpan w:val="3"/>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Merge w:val="restar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8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365" w:type="dxa"/>
            <w:gridSpan w:val="2"/>
            <w:vAlign w:val="center"/>
          </w:tcPr>
          <w:p>
            <w:pPr>
              <w:spacing w:line="360" w:lineRule="auto"/>
              <w:jc w:val="center"/>
              <w:rPr>
                <w:rFonts w:hint="eastAsia" w:ascii="宋体" w:hAnsi="宋体" w:eastAsia="宋体" w:cs="宋体"/>
                <w:color w:val="auto"/>
                <w:sz w:val="21"/>
                <w:szCs w:val="21"/>
                <w:highlight w:val="none"/>
              </w:rPr>
            </w:pPr>
          </w:p>
        </w:tc>
        <w:tc>
          <w:tcPr>
            <w:tcW w:w="1236"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3020" w:type="dxa"/>
            <w:gridSpan w:val="3"/>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108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1365" w:type="dxa"/>
            <w:gridSpan w:val="2"/>
            <w:vAlign w:val="center"/>
          </w:tcPr>
          <w:p>
            <w:pPr>
              <w:spacing w:line="360" w:lineRule="auto"/>
              <w:jc w:val="center"/>
              <w:rPr>
                <w:rFonts w:hint="eastAsia" w:ascii="宋体" w:hAnsi="宋体" w:eastAsia="宋体" w:cs="宋体"/>
                <w:color w:val="auto"/>
                <w:sz w:val="21"/>
                <w:szCs w:val="21"/>
                <w:highlight w:val="none"/>
              </w:rPr>
            </w:pPr>
          </w:p>
        </w:tc>
        <w:tc>
          <w:tcPr>
            <w:tcW w:w="1236"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网址</w:t>
            </w:r>
          </w:p>
        </w:tc>
        <w:tc>
          <w:tcPr>
            <w:tcW w:w="3020" w:type="dxa"/>
            <w:gridSpan w:val="3"/>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6701" w:type="dxa"/>
            <w:gridSpan w:val="8"/>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税务登记证号</w:t>
            </w:r>
          </w:p>
        </w:tc>
        <w:tc>
          <w:tcPr>
            <w:tcW w:w="6701" w:type="dxa"/>
            <w:gridSpan w:val="8"/>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组织机构代码证号</w:t>
            </w:r>
          </w:p>
        </w:tc>
        <w:tc>
          <w:tcPr>
            <w:tcW w:w="6701" w:type="dxa"/>
            <w:gridSpan w:val="8"/>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108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80" w:type="dxa"/>
            <w:vAlign w:val="center"/>
          </w:tcPr>
          <w:p>
            <w:pPr>
              <w:spacing w:line="360" w:lineRule="auto"/>
              <w:jc w:val="center"/>
              <w:rPr>
                <w:rFonts w:hint="eastAsia" w:ascii="宋体" w:hAnsi="宋体" w:eastAsia="宋体" w:cs="宋体"/>
                <w:color w:val="auto"/>
                <w:sz w:val="21"/>
                <w:szCs w:val="21"/>
                <w:highlight w:val="none"/>
              </w:rPr>
            </w:pPr>
          </w:p>
        </w:tc>
        <w:tc>
          <w:tcPr>
            <w:tcW w:w="816" w:type="dxa"/>
            <w:gridSpan w:val="2"/>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514" w:type="dxa"/>
            <w:gridSpan w:val="2"/>
            <w:vAlign w:val="center"/>
          </w:tcPr>
          <w:p>
            <w:pPr>
              <w:spacing w:line="360" w:lineRule="auto"/>
              <w:jc w:val="center"/>
              <w:rPr>
                <w:rFonts w:hint="eastAsia" w:ascii="宋体" w:hAnsi="宋体" w:eastAsia="宋体" w:cs="宋体"/>
                <w:color w:val="auto"/>
                <w:sz w:val="21"/>
                <w:szCs w:val="21"/>
                <w:highlight w:val="none"/>
              </w:rPr>
            </w:pPr>
          </w:p>
        </w:tc>
        <w:tc>
          <w:tcPr>
            <w:tcW w:w="816"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395" w:type="dxa"/>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2160" w:type="dxa"/>
            <w:gridSpan w:val="2"/>
            <w:vAlign w:val="center"/>
          </w:tcPr>
          <w:p>
            <w:pPr>
              <w:spacing w:line="360" w:lineRule="auto"/>
              <w:jc w:val="center"/>
              <w:rPr>
                <w:rFonts w:hint="eastAsia" w:ascii="宋体" w:hAnsi="宋体" w:eastAsia="宋体" w:cs="宋体"/>
                <w:color w:val="auto"/>
                <w:sz w:val="21"/>
                <w:szCs w:val="21"/>
                <w:highlight w:val="none"/>
              </w:rPr>
            </w:pPr>
          </w:p>
        </w:tc>
        <w:tc>
          <w:tcPr>
            <w:tcW w:w="2330" w:type="dxa"/>
            <w:gridSpan w:val="4"/>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11" w:type="dxa"/>
            <w:gridSpan w:val="2"/>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160" w:type="dxa"/>
            <w:gridSpan w:val="2"/>
            <w:vAlign w:val="center"/>
          </w:tcPr>
          <w:p>
            <w:pPr>
              <w:spacing w:line="360" w:lineRule="auto"/>
              <w:jc w:val="center"/>
              <w:rPr>
                <w:rFonts w:hint="eastAsia" w:ascii="宋体" w:hAnsi="宋体" w:eastAsia="宋体" w:cs="宋体"/>
                <w:color w:val="auto"/>
                <w:sz w:val="21"/>
                <w:szCs w:val="21"/>
                <w:highlight w:val="none"/>
              </w:rPr>
            </w:pPr>
          </w:p>
        </w:tc>
        <w:tc>
          <w:tcPr>
            <w:tcW w:w="2330" w:type="dxa"/>
            <w:gridSpan w:val="4"/>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2211" w:type="dxa"/>
            <w:gridSpan w:val="2"/>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701" w:type="dxa"/>
            <w:gridSpan w:val="8"/>
            <w:vAlign w:val="center"/>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8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701" w:type="dxa"/>
            <w:gridSpan w:val="8"/>
            <w:vAlign w:val="center"/>
          </w:tcPr>
          <w:p>
            <w:pPr>
              <w:spacing w:line="360" w:lineRule="auto"/>
              <w:jc w:val="center"/>
              <w:rPr>
                <w:rFonts w:hint="eastAsia" w:ascii="宋体" w:hAnsi="宋体" w:eastAsia="宋体" w:cs="宋体"/>
                <w:color w:val="auto"/>
                <w:sz w:val="21"/>
                <w:szCs w:val="21"/>
                <w:highlight w:val="none"/>
              </w:rPr>
            </w:pPr>
          </w:p>
        </w:tc>
      </w:tr>
    </w:tbl>
    <w:p>
      <w:pPr>
        <w:spacing w:line="360" w:lineRule="auto"/>
        <w:rPr>
          <w:rFonts w:ascii="宋体" w:hAnsi="宋体"/>
          <w:b/>
          <w:color w:val="auto"/>
          <w:sz w:val="24"/>
          <w:szCs w:val="24"/>
          <w:highlight w:val="none"/>
        </w:rPr>
      </w:pPr>
      <w:r>
        <w:rPr>
          <w:rFonts w:hint="eastAsia" w:ascii="宋体" w:hAnsi="宋体"/>
          <w:color w:val="auto"/>
          <w:sz w:val="24"/>
          <w:szCs w:val="24"/>
          <w:highlight w:val="none"/>
        </w:rPr>
        <w:t>注：供应商可根据实际情况自行</w:t>
      </w:r>
      <w:r>
        <w:rPr>
          <w:rFonts w:hint="eastAsia" w:ascii="宋体" w:hAnsi="宋体"/>
          <w:bCs/>
          <w:color w:val="auto"/>
          <w:sz w:val="24"/>
          <w:szCs w:val="24"/>
          <w:highlight w:val="none"/>
        </w:rPr>
        <w:t>添加</w:t>
      </w:r>
      <w:r>
        <w:rPr>
          <w:rFonts w:hint="eastAsia" w:ascii="宋体" w:hAnsi="宋体"/>
          <w:color w:val="auto"/>
          <w:sz w:val="24"/>
          <w:szCs w:val="24"/>
          <w:highlight w:val="none"/>
        </w:rPr>
        <w:t>表格内容。</w:t>
      </w:r>
    </w:p>
    <w:p>
      <w:pPr>
        <w:spacing w:line="560" w:lineRule="exact"/>
        <w:jc w:val="left"/>
        <w:rPr>
          <w:rFonts w:ascii="仿宋_GB2312" w:hAnsi="华文楷体" w:eastAsia="仿宋_GB2312"/>
          <w:b/>
          <w:color w:val="auto"/>
          <w:sz w:val="28"/>
          <w:szCs w:val="28"/>
          <w:highlight w:val="none"/>
        </w:rPr>
      </w:pPr>
      <w:r>
        <w:rPr>
          <w:rFonts w:hint="eastAsia" w:ascii="仿宋_GB2312" w:eastAsia="仿宋_GB2312"/>
          <w:color w:val="auto"/>
          <w:sz w:val="28"/>
          <w:szCs w:val="28"/>
          <w:highlight w:val="none"/>
        </w:rPr>
        <w:t xml:space="preserve"> 单位名称： （单位公章）</w:t>
      </w:r>
      <w:r>
        <w:rPr>
          <w:rFonts w:hint="eastAsia" w:ascii="仿宋_GB2312" w:eastAsia="仿宋_GB2312"/>
          <w:color w:val="auto"/>
          <w:sz w:val="28"/>
          <w:szCs w:val="28"/>
          <w:highlight w:val="none"/>
        </w:rPr>
        <w:br w:type="textWrapping"/>
      </w:r>
      <w:r>
        <w:rPr>
          <w:rFonts w:hint="eastAsia" w:ascii="仿宋_GB2312" w:eastAsia="仿宋_GB2312"/>
          <w:color w:val="auto"/>
          <w:sz w:val="28"/>
          <w:szCs w:val="28"/>
          <w:highlight w:val="none"/>
        </w:rPr>
        <w:t xml:space="preserve"> 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 xml:space="preserve">) </w:t>
      </w:r>
    </w:p>
    <w:p>
      <w:pPr>
        <w:spacing w:line="360" w:lineRule="auto"/>
        <w:ind w:firstLine="562" w:firstLineChars="200"/>
        <w:jc w:val="center"/>
        <w:rPr>
          <w:rFonts w:ascii="宋体" w:hAnsi="宋体"/>
          <w:b/>
          <w:color w:val="auto"/>
          <w:sz w:val="28"/>
          <w:szCs w:val="28"/>
          <w:highlight w:val="none"/>
        </w:rPr>
      </w:pPr>
    </w:p>
    <w:p>
      <w:pPr>
        <w:spacing w:line="360" w:lineRule="auto"/>
        <w:ind w:firstLine="560" w:firstLineChars="200"/>
        <w:jc w:val="center"/>
        <w:rPr>
          <w:rFonts w:ascii="仿宋_GB2312" w:hAnsi="宋体" w:eastAsia="仿宋_GB2312" w:cs="Lucida Sans Unicode"/>
          <w:color w:val="auto"/>
          <w:sz w:val="28"/>
          <w:szCs w:val="28"/>
          <w:highlight w:val="none"/>
        </w:rPr>
      </w:pPr>
      <w:r>
        <w:rPr>
          <w:rFonts w:hint="eastAsia" w:ascii="仿宋_GB2312" w:eastAsia="仿宋_GB2312"/>
          <w:color w:val="auto"/>
          <w:sz w:val="28"/>
          <w:szCs w:val="28"/>
          <w:highlight w:val="none"/>
        </w:rPr>
        <w:t xml:space="preserve">                                      年  月  日</w:t>
      </w:r>
    </w:p>
    <w:p>
      <w:pPr>
        <w:spacing w:line="360" w:lineRule="auto"/>
        <w:jc w:val="left"/>
        <w:rPr>
          <w:rFonts w:hint="eastAsia" w:ascii="仿宋_GB2312" w:hAnsi="宋体" w:eastAsia="仿宋_GB2312" w:cs="Lucida Sans Unicode"/>
          <w:color w:val="auto"/>
          <w:sz w:val="30"/>
          <w:szCs w:val="30"/>
          <w:highlight w:val="none"/>
        </w:rPr>
      </w:pPr>
    </w:p>
    <w:p>
      <w:pPr>
        <w:spacing w:line="360" w:lineRule="auto"/>
        <w:jc w:val="left"/>
        <w:rPr>
          <w:rFonts w:hint="eastAsia" w:ascii="仿宋_GB2312" w:hAnsi="宋体" w:eastAsia="仿宋_GB2312" w:cs="Lucida Sans Unicode"/>
          <w:color w:val="auto"/>
          <w:sz w:val="30"/>
          <w:szCs w:val="30"/>
          <w:highlight w:val="none"/>
        </w:rPr>
      </w:pPr>
    </w:p>
    <w:p>
      <w:pPr>
        <w:spacing w:line="360" w:lineRule="auto"/>
        <w:jc w:val="left"/>
        <w:rPr>
          <w:rFonts w:hint="eastAsia" w:ascii="仿宋_GB2312" w:hAnsi="宋体" w:eastAsia="仿宋_GB2312" w:cs="Lucida Sans Unicode"/>
          <w:color w:val="auto"/>
          <w:sz w:val="28"/>
          <w:szCs w:val="28"/>
          <w:highlight w:val="none"/>
        </w:rPr>
      </w:pPr>
    </w:p>
    <w:p>
      <w:pPr>
        <w:spacing w:line="360" w:lineRule="auto"/>
        <w:jc w:val="left"/>
        <w:rPr>
          <w:rFonts w:hint="eastAsia" w:ascii="仿宋_GB2312" w:hAnsi="宋体" w:eastAsia="仿宋_GB2312" w:cs="Lucida Sans Unicode"/>
          <w:color w:val="auto"/>
          <w:sz w:val="28"/>
          <w:szCs w:val="28"/>
          <w:highlight w:val="none"/>
          <w:lang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6</w:t>
      </w:r>
    </w:p>
    <w:p>
      <w:pPr>
        <w:spacing w:line="360" w:lineRule="auto"/>
        <w:jc w:val="center"/>
        <w:rPr>
          <w:rFonts w:ascii="黑体" w:eastAsia="黑体"/>
          <w:color w:val="auto"/>
          <w:sz w:val="28"/>
          <w:szCs w:val="28"/>
          <w:highlight w:val="none"/>
        </w:rPr>
      </w:pPr>
    </w:p>
    <w:p>
      <w:pPr>
        <w:spacing w:line="360" w:lineRule="auto"/>
        <w:jc w:val="center"/>
        <w:rPr>
          <w:rFonts w:ascii="黑体" w:eastAsia="黑体"/>
          <w:color w:val="auto"/>
          <w:sz w:val="28"/>
          <w:szCs w:val="28"/>
          <w:highlight w:val="none"/>
        </w:rPr>
      </w:pPr>
    </w:p>
    <w:p>
      <w:pPr>
        <w:spacing w:line="360" w:lineRule="auto"/>
        <w:jc w:val="center"/>
        <w:rPr>
          <w:rFonts w:ascii="黑体" w:eastAsia="黑体"/>
          <w:color w:val="auto"/>
          <w:sz w:val="28"/>
          <w:szCs w:val="28"/>
          <w:highlight w:val="none"/>
        </w:rPr>
      </w:pPr>
    </w:p>
    <w:p>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参加采购活动前三年内无重大违法记录的书面声明</w:t>
      </w: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pStyle w:val="4"/>
        <w:rPr>
          <w:rFonts w:ascii="仿宋_GB2312" w:eastAsia="仿宋_GB2312"/>
          <w:color w:val="auto"/>
          <w:sz w:val="28"/>
          <w:szCs w:val="28"/>
          <w:highlight w:val="none"/>
        </w:rPr>
      </w:pPr>
    </w:p>
    <w:p>
      <w:pPr>
        <w:rPr>
          <w:rFonts w:ascii="仿宋_GB2312" w:eastAsia="仿宋_GB2312"/>
          <w:color w:val="auto"/>
          <w:sz w:val="28"/>
          <w:szCs w:val="28"/>
          <w:highlight w:val="none"/>
        </w:rPr>
      </w:pPr>
    </w:p>
    <w:p>
      <w:pPr>
        <w:pStyle w:val="4"/>
        <w:rPr>
          <w:rFonts w:ascii="仿宋_GB2312" w:eastAsia="仿宋_GB2312"/>
          <w:color w:val="auto"/>
          <w:sz w:val="28"/>
          <w:szCs w:val="28"/>
          <w:highlight w:val="none"/>
        </w:rPr>
      </w:pPr>
    </w:p>
    <w:p>
      <w:pPr>
        <w:rPr>
          <w:rFonts w:ascii="仿宋_GB2312" w:eastAsia="仿宋_GB2312"/>
          <w:color w:val="auto"/>
          <w:sz w:val="28"/>
          <w:szCs w:val="28"/>
          <w:highlight w:val="none"/>
        </w:rPr>
      </w:pPr>
    </w:p>
    <w:p>
      <w:pPr>
        <w:pStyle w:val="4"/>
        <w:rPr>
          <w:rFonts w:ascii="仿宋_GB2312" w:eastAsia="仿宋_GB2312"/>
          <w:color w:val="auto"/>
          <w:sz w:val="28"/>
          <w:szCs w:val="28"/>
          <w:highlight w:val="none"/>
        </w:rPr>
      </w:pPr>
    </w:p>
    <w:p>
      <w:pPr>
        <w:rPr>
          <w:rFonts w:ascii="仿宋_GB2312" w:eastAsia="仿宋_GB2312"/>
          <w:color w:val="auto"/>
          <w:sz w:val="28"/>
          <w:szCs w:val="28"/>
          <w:highlight w:val="none"/>
        </w:rPr>
      </w:pPr>
    </w:p>
    <w:p>
      <w:pPr>
        <w:pStyle w:val="4"/>
        <w:rPr>
          <w:rFonts w:ascii="仿宋_GB2312" w:eastAsia="仿宋_GB2312"/>
          <w:color w:val="auto"/>
          <w:sz w:val="28"/>
          <w:szCs w:val="28"/>
          <w:highlight w:val="none"/>
        </w:rPr>
      </w:pPr>
    </w:p>
    <w:p>
      <w:pPr>
        <w:rPr>
          <w:color w:val="auto"/>
          <w:sz w:val="28"/>
          <w:szCs w:val="28"/>
          <w:highlight w:val="none"/>
        </w:rPr>
      </w:pPr>
    </w:p>
    <w:p>
      <w:pPr>
        <w:spacing w:line="360" w:lineRule="auto"/>
        <w:rPr>
          <w:rFonts w:ascii="仿宋_GB2312" w:eastAsia="仿宋_GB2312"/>
          <w:color w:val="auto"/>
          <w:sz w:val="28"/>
          <w:szCs w:val="28"/>
          <w:highlight w:val="none"/>
        </w:rPr>
      </w:pP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供应商名称：（单位公章）    </w:t>
      </w: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 xml:space="preserve">)     </w:t>
      </w:r>
    </w:p>
    <w:p>
      <w:pPr>
        <w:spacing w:line="360" w:lineRule="auto"/>
        <w:jc w:val="right"/>
        <w:rPr>
          <w:rFonts w:ascii="仿宋_GB2312" w:eastAsia="仿宋_GB2312"/>
          <w:color w:val="auto"/>
          <w:sz w:val="30"/>
          <w:szCs w:val="30"/>
          <w:highlight w:val="none"/>
        </w:rPr>
      </w:pPr>
      <w:r>
        <w:rPr>
          <w:rFonts w:hint="eastAsia" w:ascii="仿宋_GB2312" w:eastAsia="仿宋_GB2312"/>
          <w:color w:val="auto"/>
          <w:sz w:val="28"/>
          <w:szCs w:val="28"/>
          <w:highlight w:val="none"/>
        </w:rPr>
        <w:t>年   月  日</w:t>
      </w:r>
      <w:r>
        <w:rPr>
          <w:rFonts w:hint="eastAsia" w:ascii="仿宋_GB2312" w:eastAsia="仿宋_GB2312"/>
          <w:color w:val="auto"/>
          <w:sz w:val="30"/>
          <w:szCs w:val="30"/>
          <w:highlight w:val="none"/>
        </w:rPr>
        <w:t xml:space="preserve"> </w:t>
      </w: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hint="eastAsia" w:ascii="仿宋_GB2312" w:hAnsi="宋体" w:eastAsia="仿宋_GB2312" w:cs="Lucida Sans Unicode"/>
          <w:color w:val="auto"/>
          <w:sz w:val="28"/>
          <w:szCs w:val="28"/>
          <w:highlight w:val="none"/>
        </w:rPr>
      </w:pPr>
    </w:p>
    <w:p>
      <w:pPr>
        <w:spacing w:line="360" w:lineRule="auto"/>
        <w:jc w:val="left"/>
        <w:rPr>
          <w:rFonts w:hint="eastAsia" w:ascii="仿宋_GB2312" w:hAnsi="宋体" w:eastAsia="仿宋_GB2312" w:cs="Lucida Sans Unicode"/>
          <w:color w:val="auto"/>
          <w:sz w:val="28"/>
          <w:szCs w:val="28"/>
          <w:highlight w:val="none"/>
          <w:lang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7</w:t>
      </w:r>
    </w:p>
    <w:p>
      <w:pPr>
        <w:spacing w:line="360" w:lineRule="auto"/>
        <w:ind w:firstLine="560" w:firstLineChars="200"/>
        <w:jc w:val="center"/>
        <w:rPr>
          <w:rFonts w:ascii="黑体" w:eastAsia="黑体"/>
          <w:color w:val="auto"/>
          <w:sz w:val="28"/>
          <w:szCs w:val="28"/>
          <w:highlight w:val="none"/>
        </w:rPr>
      </w:pPr>
      <w:r>
        <w:rPr>
          <w:rFonts w:hint="eastAsia" w:ascii="黑体" w:eastAsia="黑体"/>
          <w:color w:val="auto"/>
          <w:sz w:val="28"/>
          <w:szCs w:val="28"/>
          <w:highlight w:val="none"/>
        </w:rPr>
        <w:t>反商业贿赂承诺书</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在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采购活动中，我单位郑重承诺：</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一、公平竞争参加本次竞争性磋商活动。</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二、杜绝任何形式的商业贿赂行为。不向国家工作人员、政府采购代理机构工作人员、评审专家及其亲属提供礼品、有价证券、购物券、回扣、佣金、咨询费、劳务费、赞助费、宣传费、宴请；不为其报销各种消费凭证，不支付其旅游、娱乐等费用。</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三、若出现上述行为，我单位及参与投标的工作人员愿意接受按照国家法律法规等有关规定给予的处罚。</w:t>
      </w:r>
    </w:p>
    <w:p>
      <w:pPr>
        <w:spacing w:line="360" w:lineRule="auto"/>
        <w:ind w:firstLine="560" w:firstLineChars="200"/>
        <w:rPr>
          <w:rFonts w:ascii="仿宋_GB2312" w:eastAsia="仿宋_GB2312"/>
          <w:color w:val="auto"/>
          <w:sz w:val="28"/>
          <w:szCs w:val="28"/>
          <w:highlight w:val="none"/>
        </w:rPr>
      </w:pPr>
    </w:p>
    <w:p>
      <w:pPr>
        <w:spacing w:line="360" w:lineRule="auto"/>
        <w:ind w:firstLine="560" w:firstLineChars="200"/>
        <w:rPr>
          <w:rFonts w:ascii="仿宋_GB2312" w:eastAsia="仿宋_GB2312"/>
          <w:color w:val="auto"/>
          <w:sz w:val="28"/>
          <w:szCs w:val="28"/>
          <w:highlight w:val="none"/>
        </w:rPr>
      </w:pPr>
    </w:p>
    <w:p>
      <w:pPr>
        <w:spacing w:line="360" w:lineRule="auto"/>
        <w:rPr>
          <w:rFonts w:ascii="仿宋_GB2312" w:eastAsia="仿宋_GB2312"/>
          <w:color w:val="auto"/>
          <w:sz w:val="28"/>
          <w:szCs w:val="28"/>
          <w:highlight w:val="none"/>
        </w:rPr>
      </w:pP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承诺人：单位名称（公章）</w:t>
      </w: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 xml:space="preserve">) </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w:t>
      </w:r>
    </w:p>
    <w:p>
      <w:pPr>
        <w:spacing w:line="360" w:lineRule="auto"/>
        <w:jc w:val="center"/>
        <w:rPr>
          <w:rFonts w:ascii="黑体" w:eastAsia="黑体"/>
          <w:color w:val="auto"/>
          <w:sz w:val="30"/>
          <w:szCs w:val="30"/>
          <w:highlight w:val="none"/>
        </w:rPr>
      </w:pPr>
    </w:p>
    <w:p>
      <w:pPr>
        <w:spacing w:line="360" w:lineRule="auto"/>
        <w:ind w:firstLine="602" w:firstLineChars="200"/>
        <w:jc w:val="center"/>
        <w:rPr>
          <w:rFonts w:ascii="宋体" w:hAnsi="宋体"/>
          <w:b/>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ascii="仿宋_GB2312" w:hAnsi="宋体" w:eastAsia="仿宋_GB2312" w:cs="Lucida Sans Unicode"/>
          <w:color w:val="auto"/>
          <w:sz w:val="30"/>
          <w:szCs w:val="30"/>
          <w:highlight w:val="none"/>
        </w:rPr>
      </w:pPr>
    </w:p>
    <w:p>
      <w:pPr>
        <w:spacing w:line="360" w:lineRule="auto"/>
        <w:jc w:val="left"/>
        <w:rPr>
          <w:rFonts w:hint="eastAsia" w:ascii="黑体" w:eastAsia="仿宋_GB2312"/>
          <w:color w:val="auto"/>
          <w:sz w:val="28"/>
          <w:szCs w:val="28"/>
          <w:highlight w:val="none"/>
          <w:lang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8</w:t>
      </w:r>
    </w:p>
    <w:p>
      <w:pPr>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报价一览表</w:t>
      </w:r>
    </w:p>
    <w:p>
      <w:pPr>
        <w:spacing w:line="360" w:lineRule="auto"/>
        <w:rPr>
          <w:rFonts w:ascii="仿宋_GB2312" w:eastAsia="仿宋_GB2312"/>
          <w:color w:val="auto"/>
          <w:sz w:val="30"/>
          <w:szCs w:val="30"/>
          <w:highlight w:val="none"/>
        </w:rPr>
      </w:pPr>
    </w:p>
    <w:tbl>
      <w:tblPr>
        <w:tblStyle w:val="28"/>
        <w:tblW w:w="884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2699"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6141"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2699"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项目编号</w:t>
            </w:r>
          </w:p>
        </w:tc>
        <w:tc>
          <w:tcPr>
            <w:tcW w:w="6141"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2699"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磋商总价（小写）：</w:t>
            </w:r>
          </w:p>
        </w:tc>
        <w:tc>
          <w:tcPr>
            <w:tcW w:w="6141" w:type="dxa"/>
            <w:vAlign w:val="center"/>
          </w:tcPr>
          <w:p>
            <w:pPr>
              <w:spacing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trPr>
        <w:tc>
          <w:tcPr>
            <w:tcW w:w="2699"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磋商总价（大写）：</w:t>
            </w:r>
          </w:p>
        </w:tc>
        <w:tc>
          <w:tcPr>
            <w:tcW w:w="6141" w:type="dxa"/>
            <w:vAlign w:val="center"/>
          </w:tcPr>
          <w:p>
            <w:pPr>
              <w:spacing w:line="360" w:lineRule="auto"/>
              <w:rPr>
                <w:rFonts w:ascii="宋体" w:hAnsi="宋体"/>
                <w:color w:val="auto"/>
                <w:sz w:val="21"/>
                <w:szCs w:val="21"/>
                <w:highlight w:val="none"/>
              </w:rPr>
            </w:pPr>
          </w:p>
        </w:tc>
      </w:tr>
    </w:tbl>
    <w:p>
      <w:pPr>
        <w:spacing w:line="560" w:lineRule="exact"/>
        <w:rPr>
          <w:rFonts w:ascii="宋体" w:hAnsi="宋体"/>
          <w:color w:val="auto"/>
          <w:sz w:val="21"/>
          <w:szCs w:val="21"/>
          <w:highlight w:val="none"/>
        </w:rPr>
      </w:pPr>
      <w:r>
        <w:rPr>
          <w:rFonts w:hint="eastAsia" w:ascii="宋体" w:hAnsi="宋体"/>
          <w:color w:val="auto"/>
          <w:sz w:val="21"/>
          <w:szCs w:val="21"/>
          <w:highlight w:val="none"/>
        </w:rPr>
        <w:t>注：1.供应商可根据实际情况自行</w:t>
      </w:r>
      <w:r>
        <w:rPr>
          <w:rFonts w:hint="eastAsia" w:ascii="宋体" w:hAnsi="宋体"/>
          <w:bCs/>
          <w:color w:val="auto"/>
          <w:sz w:val="21"/>
          <w:szCs w:val="21"/>
          <w:highlight w:val="none"/>
        </w:rPr>
        <w:t>添加</w:t>
      </w:r>
      <w:r>
        <w:rPr>
          <w:rFonts w:hint="eastAsia" w:ascii="宋体" w:hAnsi="宋体"/>
          <w:color w:val="auto"/>
          <w:sz w:val="21"/>
          <w:szCs w:val="21"/>
          <w:highlight w:val="none"/>
        </w:rPr>
        <w:t>表格内容。</w:t>
      </w:r>
    </w:p>
    <w:p>
      <w:pPr>
        <w:numPr>
          <w:ilvl w:val="0"/>
          <w:numId w:val="0"/>
        </w:numPr>
        <w:spacing w:line="5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报价一经涂改，应在涂改处加盖单位公章或供应商代表签字或盖章，否则其响应作无效响应性文件处理。</w:t>
      </w:r>
    </w:p>
    <w:p>
      <w:pPr>
        <w:spacing w:line="5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3.所有价格均应为人民币</w:t>
      </w:r>
      <w:r>
        <w:rPr>
          <w:rFonts w:hint="eastAsia" w:ascii="宋体" w:hAnsi="宋体"/>
          <w:color w:val="auto"/>
          <w:sz w:val="21"/>
          <w:szCs w:val="21"/>
          <w:highlight w:val="none"/>
          <w:lang w:eastAsia="zh-CN"/>
        </w:rPr>
        <w:t>移</w:t>
      </w:r>
      <w:r>
        <w:rPr>
          <w:rFonts w:hint="eastAsia" w:ascii="宋体" w:hAnsi="宋体"/>
          <w:color w:val="auto"/>
          <w:sz w:val="21"/>
          <w:szCs w:val="21"/>
          <w:highlight w:val="none"/>
        </w:rPr>
        <w:t>报价，金额单位为元。</w:t>
      </w:r>
    </w:p>
    <w:p>
      <w:pPr>
        <w:ind w:firstLine="150" w:firstLineChars="50"/>
        <w:rPr>
          <w:rFonts w:hint="eastAsia" w:ascii="仿宋_GB2312" w:hAnsi="华文楷体" w:eastAsia="仿宋_GB2312"/>
          <w:color w:val="auto"/>
          <w:sz w:val="30"/>
          <w:szCs w:val="30"/>
          <w:highlight w:val="none"/>
        </w:rPr>
      </w:pPr>
      <w:bookmarkStart w:id="2" w:name="OLE_LINK5"/>
    </w:p>
    <w:p>
      <w:pPr>
        <w:ind w:firstLine="140" w:firstLineChars="50"/>
        <w:rPr>
          <w:rFonts w:ascii="仿宋_GB2312" w:hAnsi="华文楷体" w:eastAsia="仿宋_GB2312"/>
          <w:color w:val="auto"/>
          <w:sz w:val="28"/>
          <w:szCs w:val="28"/>
          <w:highlight w:val="none"/>
        </w:rPr>
      </w:pPr>
      <w:r>
        <w:rPr>
          <w:rFonts w:hint="eastAsia" w:ascii="仿宋_GB2312" w:hAnsi="华文楷体" w:eastAsia="仿宋_GB2312"/>
          <w:color w:val="auto"/>
          <w:sz w:val="28"/>
          <w:szCs w:val="28"/>
          <w:highlight w:val="none"/>
        </w:rPr>
        <w:t xml:space="preserve">单位名称：（公章）        </w:t>
      </w:r>
    </w:p>
    <w:p>
      <w:pPr>
        <w:spacing w:line="360" w:lineRule="auto"/>
        <w:rPr>
          <w:rFonts w:ascii="仿宋_GB2312" w:eastAsia="仿宋_GB2312"/>
          <w:color w:val="auto"/>
          <w:sz w:val="28"/>
          <w:szCs w:val="28"/>
          <w:highlight w:val="none"/>
        </w:rPr>
      </w:pPr>
      <w:r>
        <w:rPr>
          <w:rFonts w:hint="eastAsia" w:ascii="仿宋_GB2312" w:hAnsi="华文楷体"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hAnsi="华文楷体" w:eastAsia="仿宋_GB2312"/>
          <w:color w:val="auto"/>
          <w:sz w:val="28"/>
          <w:szCs w:val="28"/>
          <w:highlight w:val="none"/>
        </w:rPr>
        <w:t>）</w:t>
      </w:r>
      <w:bookmarkEnd w:id="2"/>
      <w:r>
        <w:rPr>
          <w:rFonts w:hint="eastAsia" w:ascii="仿宋_GB2312" w:eastAsia="仿宋_GB2312"/>
          <w:color w:val="auto"/>
          <w:sz w:val="28"/>
          <w:szCs w:val="28"/>
          <w:highlight w:val="none"/>
        </w:rPr>
        <w:t xml:space="preserve">    </w:t>
      </w:r>
    </w:p>
    <w:p>
      <w:pPr>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 </w:t>
      </w:r>
      <w:r>
        <w:rPr>
          <w:rFonts w:hint="eastAsia" w:ascii="仿宋_GB2312" w:hAnsi="华文楷体" w:eastAsia="仿宋_GB2312"/>
          <w:color w:val="auto"/>
          <w:sz w:val="28"/>
          <w:szCs w:val="28"/>
          <w:highlight w:val="none"/>
        </w:rPr>
        <w:t xml:space="preserve">   </w:t>
      </w:r>
      <w:r>
        <w:rPr>
          <w:rFonts w:hint="eastAsia" w:ascii="仿宋_GB2312" w:eastAsia="仿宋_GB2312"/>
          <w:color w:val="auto"/>
          <w:sz w:val="28"/>
          <w:szCs w:val="28"/>
          <w:highlight w:val="none"/>
        </w:rPr>
        <w:t xml:space="preserve">  </w:t>
      </w:r>
    </w:p>
    <w:p>
      <w:pPr>
        <w:spacing w:line="360" w:lineRule="auto"/>
        <w:rPr>
          <w:rFonts w:ascii="仿宋_GB2312" w:eastAsia="仿宋_GB2312"/>
          <w:color w:val="auto"/>
          <w:sz w:val="30"/>
          <w:szCs w:val="30"/>
          <w:highlight w:val="none"/>
        </w:rPr>
      </w:pPr>
    </w:p>
    <w:p>
      <w:pPr>
        <w:spacing w:line="360" w:lineRule="auto"/>
        <w:rPr>
          <w:rFonts w:ascii="仿宋_GB2312" w:eastAsia="仿宋_GB2312"/>
          <w:color w:val="auto"/>
          <w:sz w:val="30"/>
          <w:szCs w:val="30"/>
          <w:highlight w:val="none"/>
        </w:rPr>
      </w:pPr>
    </w:p>
    <w:p>
      <w:pPr>
        <w:spacing w:line="360" w:lineRule="auto"/>
        <w:rPr>
          <w:rFonts w:ascii="仿宋_GB2312" w:hAnsi="宋体" w:eastAsia="仿宋_GB2312" w:cs="Lucida Sans Unicode"/>
          <w:color w:val="auto"/>
          <w:sz w:val="30"/>
          <w:szCs w:val="30"/>
          <w:highlight w:val="none"/>
        </w:rPr>
      </w:pPr>
    </w:p>
    <w:p>
      <w:pPr>
        <w:spacing w:line="360" w:lineRule="auto"/>
        <w:jc w:val="left"/>
        <w:rPr>
          <w:rFonts w:hint="default" w:ascii="黑体" w:eastAsia="仿宋_GB2312"/>
          <w:color w:val="auto"/>
          <w:sz w:val="28"/>
          <w:szCs w:val="28"/>
          <w:highlight w:val="none"/>
          <w:lang w:val="en-US"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9</w:t>
      </w:r>
    </w:p>
    <w:p>
      <w:pPr>
        <w:spacing w:line="360" w:lineRule="auto"/>
        <w:rPr>
          <w:rFonts w:hint="eastAsia" w:ascii="仿宋_GB2312" w:hAnsi="宋体" w:eastAsia="仿宋_GB2312" w:cs="Lucida Sans Unicode"/>
          <w:color w:val="auto"/>
          <w:sz w:val="30"/>
          <w:szCs w:val="30"/>
          <w:highlight w:val="none"/>
        </w:rPr>
      </w:pPr>
    </w:p>
    <w:p>
      <w:pPr>
        <w:spacing w:line="360" w:lineRule="auto"/>
        <w:ind w:firstLine="3360" w:firstLineChars="1200"/>
        <w:rPr>
          <w:rFonts w:ascii="黑体" w:eastAsia="黑体"/>
          <w:color w:val="auto"/>
          <w:sz w:val="28"/>
          <w:szCs w:val="28"/>
          <w:highlight w:val="none"/>
        </w:rPr>
      </w:pPr>
      <w:r>
        <w:rPr>
          <w:rFonts w:hint="eastAsia" w:ascii="黑体" w:eastAsia="黑体"/>
          <w:color w:val="auto"/>
          <w:sz w:val="28"/>
          <w:szCs w:val="28"/>
          <w:highlight w:val="none"/>
          <w:lang w:val="en-US" w:eastAsia="zh-CN"/>
        </w:rPr>
        <w:t>服务</w:t>
      </w:r>
      <w:r>
        <w:rPr>
          <w:rFonts w:hint="eastAsia" w:ascii="黑体" w:eastAsia="黑体"/>
          <w:color w:val="auto"/>
          <w:sz w:val="28"/>
          <w:szCs w:val="28"/>
          <w:highlight w:val="none"/>
        </w:rPr>
        <w:t>响应表</w:t>
      </w:r>
    </w:p>
    <w:p>
      <w:pPr>
        <w:spacing w:line="360" w:lineRule="auto"/>
        <w:rPr>
          <w:rFonts w:ascii="仿宋_GB2312" w:hAnsi="宋体" w:eastAsia="仿宋_GB2312"/>
          <w:color w:val="auto"/>
          <w:sz w:val="28"/>
          <w:szCs w:val="28"/>
          <w:highlight w:val="non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p>
    <w:p>
      <w:pPr>
        <w:spacing w:line="360" w:lineRule="auto"/>
        <w:rPr>
          <w:rFonts w:ascii="宋体" w:hAnsi="宋体"/>
          <w:color w:val="auto"/>
          <w:sz w:val="28"/>
          <w:szCs w:val="28"/>
          <w:highlight w:val="none"/>
        </w:rPr>
      </w:pPr>
      <w:r>
        <w:rPr>
          <w:rFonts w:hint="eastAsia" w:ascii="仿宋" w:hAnsi="仿宋" w:eastAsia="仿宋" w:cs="仿宋"/>
          <w:color w:val="auto"/>
          <w:sz w:val="28"/>
          <w:szCs w:val="28"/>
          <w:highlight w:val="none"/>
        </w:rPr>
        <w:t>项目编号：</w:t>
      </w:r>
    </w:p>
    <w:tbl>
      <w:tblPr>
        <w:tblStyle w:val="28"/>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36"/>
        <w:gridCol w:w="2235"/>
        <w:gridCol w:w="274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836" w:type="dxa"/>
            <w:vAlign w:val="center"/>
          </w:tcPr>
          <w:p>
            <w:pPr>
              <w:spacing w:before="120" w:line="360" w:lineRule="atLeast"/>
              <w:jc w:val="center"/>
              <w:rPr>
                <w:rFonts w:ascii="宋体" w:hAnsi="宋体"/>
                <w:color w:val="auto"/>
                <w:sz w:val="21"/>
                <w:szCs w:val="21"/>
                <w:highlight w:val="none"/>
              </w:rPr>
            </w:pPr>
            <w:r>
              <w:rPr>
                <w:color w:val="auto"/>
                <w:sz w:val="21"/>
                <w:szCs w:val="21"/>
                <w:highlight w:val="none"/>
              </w:rPr>
              <w:t>磋商文件条目号</w:t>
            </w:r>
          </w:p>
        </w:tc>
        <w:tc>
          <w:tcPr>
            <w:tcW w:w="2235" w:type="dxa"/>
            <w:vAlign w:val="center"/>
          </w:tcPr>
          <w:p>
            <w:pPr>
              <w:spacing w:before="120" w:line="360" w:lineRule="atLeast"/>
              <w:jc w:val="center"/>
              <w:rPr>
                <w:rFonts w:ascii="宋体" w:hAnsi="宋体"/>
                <w:color w:val="auto"/>
                <w:sz w:val="21"/>
                <w:szCs w:val="21"/>
                <w:highlight w:val="none"/>
              </w:rPr>
            </w:pPr>
            <w:r>
              <w:rPr>
                <w:color w:val="auto"/>
                <w:sz w:val="21"/>
                <w:szCs w:val="21"/>
                <w:highlight w:val="none"/>
              </w:rPr>
              <w:t>磋商文件的采购需求要求</w:t>
            </w:r>
          </w:p>
        </w:tc>
        <w:tc>
          <w:tcPr>
            <w:tcW w:w="2745" w:type="dxa"/>
            <w:vAlign w:val="center"/>
          </w:tcPr>
          <w:p>
            <w:pPr>
              <w:spacing w:line="360" w:lineRule="auto"/>
              <w:jc w:val="center"/>
              <w:rPr>
                <w:rFonts w:ascii="宋体" w:hAnsi="宋体"/>
                <w:color w:val="auto"/>
                <w:sz w:val="21"/>
                <w:szCs w:val="21"/>
                <w:highlight w:val="none"/>
              </w:rPr>
            </w:pPr>
            <w:r>
              <w:rPr>
                <w:color w:val="auto"/>
                <w:sz w:val="21"/>
                <w:szCs w:val="21"/>
                <w:highlight w:val="none"/>
              </w:rPr>
              <w:t>供应商的响应</w:t>
            </w:r>
          </w:p>
        </w:tc>
        <w:tc>
          <w:tcPr>
            <w:tcW w:w="1132" w:type="dxa"/>
            <w:vAlign w:val="center"/>
          </w:tcPr>
          <w:p>
            <w:pPr>
              <w:spacing w:line="360" w:lineRule="auto"/>
              <w:jc w:val="center"/>
              <w:rPr>
                <w:color w:val="auto"/>
                <w:sz w:val="21"/>
                <w:szCs w:val="21"/>
                <w:highlight w:val="none"/>
              </w:rPr>
            </w:pPr>
            <w:r>
              <w:rPr>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p>
        </w:tc>
        <w:tc>
          <w:tcPr>
            <w:tcW w:w="1836" w:type="dxa"/>
            <w:vAlign w:val="center"/>
          </w:tcPr>
          <w:p>
            <w:pPr>
              <w:spacing w:line="360" w:lineRule="auto"/>
              <w:jc w:val="center"/>
              <w:rPr>
                <w:rFonts w:ascii="宋体" w:hAnsi="宋体"/>
                <w:color w:val="auto"/>
                <w:sz w:val="21"/>
                <w:szCs w:val="21"/>
                <w:highlight w:val="none"/>
              </w:rPr>
            </w:pPr>
          </w:p>
        </w:tc>
        <w:tc>
          <w:tcPr>
            <w:tcW w:w="2235" w:type="dxa"/>
          </w:tcPr>
          <w:p>
            <w:pPr>
              <w:spacing w:line="360" w:lineRule="auto"/>
              <w:jc w:val="center"/>
              <w:rPr>
                <w:rFonts w:ascii="宋体" w:hAnsi="宋体"/>
                <w:color w:val="auto"/>
                <w:sz w:val="21"/>
                <w:szCs w:val="21"/>
                <w:highlight w:val="none"/>
              </w:rPr>
            </w:pPr>
          </w:p>
        </w:tc>
        <w:tc>
          <w:tcPr>
            <w:tcW w:w="2745" w:type="dxa"/>
          </w:tcPr>
          <w:p>
            <w:pPr>
              <w:spacing w:line="360" w:lineRule="auto"/>
              <w:jc w:val="center"/>
              <w:rPr>
                <w:rFonts w:ascii="宋体" w:hAnsi="宋体"/>
                <w:color w:val="auto"/>
                <w:sz w:val="21"/>
                <w:szCs w:val="21"/>
                <w:highlight w:val="none"/>
              </w:rPr>
            </w:pPr>
          </w:p>
        </w:tc>
        <w:tc>
          <w:tcPr>
            <w:tcW w:w="1132" w:type="dxa"/>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p>
        </w:tc>
        <w:tc>
          <w:tcPr>
            <w:tcW w:w="1836" w:type="dxa"/>
            <w:vAlign w:val="center"/>
          </w:tcPr>
          <w:p>
            <w:pPr>
              <w:spacing w:line="360" w:lineRule="auto"/>
              <w:jc w:val="center"/>
              <w:rPr>
                <w:rFonts w:ascii="宋体" w:hAnsi="宋体"/>
                <w:color w:val="auto"/>
                <w:sz w:val="21"/>
                <w:szCs w:val="21"/>
                <w:highlight w:val="none"/>
              </w:rPr>
            </w:pPr>
          </w:p>
        </w:tc>
        <w:tc>
          <w:tcPr>
            <w:tcW w:w="2235" w:type="dxa"/>
          </w:tcPr>
          <w:p>
            <w:pPr>
              <w:spacing w:line="360" w:lineRule="auto"/>
              <w:jc w:val="center"/>
              <w:rPr>
                <w:rFonts w:ascii="宋体" w:hAnsi="宋体"/>
                <w:color w:val="auto"/>
                <w:sz w:val="21"/>
                <w:szCs w:val="21"/>
                <w:highlight w:val="none"/>
              </w:rPr>
            </w:pPr>
          </w:p>
        </w:tc>
        <w:tc>
          <w:tcPr>
            <w:tcW w:w="2745" w:type="dxa"/>
          </w:tcPr>
          <w:p>
            <w:pPr>
              <w:spacing w:line="360" w:lineRule="auto"/>
              <w:jc w:val="center"/>
              <w:rPr>
                <w:rFonts w:ascii="宋体" w:hAnsi="宋体"/>
                <w:color w:val="auto"/>
                <w:sz w:val="21"/>
                <w:szCs w:val="21"/>
                <w:highlight w:val="none"/>
              </w:rPr>
            </w:pPr>
          </w:p>
        </w:tc>
        <w:tc>
          <w:tcPr>
            <w:tcW w:w="1132" w:type="dxa"/>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p>
        </w:tc>
        <w:tc>
          <w:tcPr>
            <w:tcW w:w="1836" w:type="dxa"/>
            <w:vAlign w:val="center"/>
          </w:tcPr>
          <w:p>
            <w:pPr>
              <w:spacing w:line="360" w:lineRule="auto"/>
              <w:jc w:val="center"/>
              <w:rPr>
                <w:rFonts w:ascii="宋体" w:hAnsi="宋体"/>
                <w:color w:val="auto"/>
                <w:sz w:val="21"/>
                <w:szCs w:val="21"/>
                <w:highlight w:val="none"/>
              </w:rPr>
            </w:pPr>
          </w:p>
        </w:tc>
        <w:tc>
          <w:tcPr>
            <w:tcW w:w="2235" w:type="dxa"/>
          </w:tcPr>
          <w:p>
            <w:pPr>
              <w:spacing w:line="360" w:lineRule="auto"/>
              <w:jc w:val="center"/>
              <w:rPr>
                <w:rFonts w:ascii="宋体" w:hAnsi="宋体"/>
                <w:color w:val="auto"/>
                <w:sz w:val="21"/>
                <w:szCs w:val="21"/>
                <w:highlight w:val="none"/>
              </w:rPr>
            </w:pPr>
          </w:p>
        </w:tc>
        <w:tc>
          <w:tcPr>
            <w:tcW w:w="2745" w:type="dxa"/>
          </w:tcPr>
          <w:p>
            <w:pPr>
              <w:spacing w:line="360" w:lineRule="auto"/>
              <w:jc w:val="center"/>
              <w:rPr>
                <w:rFonts w:ascii="宋体" w:hAnsi="宋体"/>
                <w:color w:val="auto"/>
                <w:sz w:val="21"/>
                <w:szCs w:val="21"/>
                <w:highlight w:val="none"/>
              </w:rPr>
            </w:pPr>
          </w:p>
        </w:tc>
        <w:tc>
          <w:tcPr>
            <w:tcW w:w="1132" w:type="dxa"/>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p>
        </w:tc>
        <w:tc>
          <w:tcPr>
            <w:tcW w:w="1836" w:type="dxa"/>
            <w:vAlign w:val="center"/>
          </w:tcPr>
          <w:p>
            <w:pPr>
              <w:spacing w:line="360" w:lineRule="auto"/>
              <w:jc w:val="center"/>
              <w:rPr>
                <w:rFonts w:ascii="宋体" w:hAnsi="宋体"/>
                <w:color w:val="auto"/>
                <w:sz w:val="21"/>
                <w:szCs w:val="21"/>
                <w:highlight w:val="none"/>
              </w:rPr>
            </w:pPr>
          </w:p>
        </w:tc>
        <w:tc>
          <w:tcPr>
            <w:tcW w:w="2235" w:type="dxa"/>
          </w:tcPr>
          <w:p>
            <w:pPr>
              <w:spacing w:line="360" w:lineRule="auto"/>
              <w:jc w:val="center"/>
              <w:rPr>
                <w:rFonts w:ascii="宋体" w:hAnsi="宋体"/>
                <w:color w:val="auto"/>
                <w:sz w:val="21"/>
                <w:szCs w:val="21"/>
                <w:highlight w:val="none"/>
              </w:rPr>
            </w:pPr>
          </w:p>
        </w:tc>
        <w:tc>
          <w:tcPr>
            <w:tcW w:w="2745" w:type="dxa"/>
          </w:tcPr>
          <w:p>
            <w:pPr>
              <w:spacing w:line="360" w:lineRule="auto"/>
              <w:jc w:val="center"/>
              <w:rPr>
                <w:rFonts w:ascii="宋体" w:hAnsi="宋体"/>
                <w:color w:val="auto"/>
                <w:sz w:val="21"/>
                <w:szCs w:val="21"/>
                <w:highlight w:val="none"/>
              </w:rPr>
            </w:pPr>
          </w:p>
        </w:tc>
        <w:tc>
          <w:tcPr>
            <w:tcW w:w="1132" w:type="dxa"/>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1"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836"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2235" w:type="dxa"/>
          </w:tcPr>
          <w:p>
            <w:pPr>
              <w:spacing w:line="360" w:lineRule="auto"/>
              <w:jc w:val="center"/>
              <w:rPr>
                <w:rFonts w:ascii="宋体" w:hAnsi="宋体"/>
                <w:color w:val="auto"/>
                <w:sz w:val="21"/>
                <w:szCs w:val="21"/>
                <w:highlight w:val="none"/>
              </w:rPr>
            </w:pPr>
          </w:p>
        </w:tc>
        <w:tc>
          <w:tcPr>
            <w:tcW w:w="2745" w:type="dxa"/>
          </w:tcPr>
          <w:p>
            <w:pPr>
              <w:spacing w:line="360" w:lineRule="auto"/>
              <w:jc w:val="center"/>
              <w:rPr>
                <w:rFonts w:ascii="宋体" w:hAnsi="宋体"/>
                <w:color w:val="auto"/>
                <w:sz w:val="21"/>
                <w:szCs w:val="21"/>
                <w:highlight w:val="none"/>
              </w:rPr>
            </w:pPr>
          </w:p>
        </w:tc>
        <w:tc>
          <w:tcPr>
            <w:tcW w:w="1132" w:type="dxa"/>
          </w:tcPr>
          <w:p>
            <w:pPr>
              <w:spacing w:line="360" w:lineRule="auto"/>
              <w:jc w:val="center"/>
              <w:rPr>
                <w:rFonts w:ascii="宋体" w:hAnsi="宋体"/>
                <w:color w:val="auto"/>
                <w:sz w:val="21"/>
                <w:szCs w:val="21"/>
                <w:highlight w:val="none"/>
              </w:rPr>
            </w:pPr>
          </w:p>
        </w:tc>
      </w:tr>
    </w:tbl>
    <w:p>
      <w:pPr>
        <w:spacing w:line="360" w:lineRule="auto"/>
        <w:rPr>
          <w:rFonts w:ascii="宋体" w:hAnsi="宋体"/>
          <w:color w:val="auto"/>
          <w:sz w:val="21"/>
          <w:szCs w:val="21"/>
          <w:highlight w:val="none"/>
        </w:rPr>
      </w:pPr>
      <w:r>
        <w:rPr>
          <w:rFonts w:hint="eastAsia" w:ascii="宋体" w:hAnsi="宋体"/>
          <w:color w:val="auto"/>
          <w:sz w:val="21"/>
          <w:szCs w:val="21"/>
          <w:highlight w:val="none"/>
        </w:rPr>
        <w:t>注：1.供应商可根据实际情况自行</w:t>
      </w:r>
      <w:r>
        <w:rPr>
          <w:rFonts w:hint="eastAsia" w:ascii="宋体" w:hAnsi="宋体"/>
          <w:bCs/>
          <w:color w:val="auto"/>
          <w:sz w:val="21"/>
          <w:szCs w:val="21"/>
          <w:highlight w:val="none"/>
        </w:rPr>
        <w:t>添加</w:t>
      </w:r>
      <w:r>
        <w:rPr>
          <w:rFonts w:hint="eastAsia" w:ascii="宋体" w:hAnsi="宋体"/>
          <w:color w:val="auto"/>
          <w:sz w:val="21"/>
          <w:szCs w:val="21"/>
          <w:highlight w:val="none"/>
        </w:rPr>
        <w:t>表格内容。</w:t>
      </w:r>
    </w:p>
    <w:p>
      <w:pPr>
        <w:spacing w:line="360" w:lineRule="auto"/>
        <w:ind w:firstLine="600" w:firstLineChars="200"/>
        <w:rPr>
          <w:rFonts w:ascii="仿宋_GB2312" w:eastAsia="仿宋_GB2312"/>
          <w:color w:val="auto"/>
          <w:sz w:val="30"/>
          <w:szCs w:val="30"/>
          <w:highlight w:val="none"/>
        </w:rPr>
      </w:pPr>
    </w:p>
    <w:p>
      <w:pPr>
        <w:ind w:firstLine="140" w:firstLineChars="50"/>
        <w:rPr>
          <w:rFonts w:ascii="仿宋_GB2312" w:hAnsi="华文楷体" w:eastAsia="仿宋_GB2312"/>
          <w:color w:val="auto"/>
          <w:sz w:val="28"/>
          <w:szCs w:val="28"/>
          <w:highlight w:val="none"/>
        </w:rPr>
      </w:pPr>
      <w:bookmarkStart w:id="3" w:name="OLE_LINK6"/>
      <w:r>
        <w:rPr>
          <w:rFonts w:hint="eastAsia" w:ascii="仿宋_GB2312" w:hAnsi="华文楷体" w:eastAsia="仿宋_GB2312"/>
          <w:color w:val="auto"/>
          <w:sz w:val="28"/>
          <w:szCs w:val="28"/>
          <w:highlight w:val="none"/>
        </w:rPr>
        <w:t>单位名称：（</w:t>
      </w:r>
      <w:r>
        <w:rPr>
          <w:rFonts w:hint="eastAsia" w:ascii="仿宋_GB2312" w:eastAsia="仿宋_GB2312"/>
          <w:color w:val="auto"/>
          <w:sz w:val="28"/>
          <w:szCs w:val="28"/>
          <w:highlight w:val="none"/>
        </w:rPr>
        <w:t>单位公章</w:t>
      </w:r>
      <w:r>
        <w:rPr>
          <w:rFonts w:hint="eastAsia" w:ascii="仿宋_GB2312" w:hAnsi="华文楷体" w:eastAsia="仿宋_GB2312"/>
          <w:color w:val="auto"/>
          <w:sz w:val="28"/>
          <w:szCs w:val="28"/>
          <w:highlight w:val="none"/>
        </w:rPr>
        <w:t xml:space="preserve">）        </w:t>
      </w:r>
    </w:p>
    <w:p>
      <w:pPr>
        <w:spacing w:line="360" w:lineRule="auto"/>
        <w:jc w:val="left"/>
        <w:rPr>
          <w:rFonts w:ascii="仿宋_GB2312" w:eastAsia="仿宋_GB2312"/>
          <w:color w:val="auto"/>
          <w:sz w:val="28"/>
          <w:szCs w:val="28"/>
          <w:highlight w:val="none"/>
        </w:rPr>
      </w:pPr>
      <w:r>
        <w:rPr>
          <w:rFonts w:hint="eastAsia" w:ascii="仿宋_GB2312" w:hAnsi="华文楷体" w:eastAsia="仿宋_GB2312"/>
          <w:color w:val="auto"/>
          <w:sz w:val="28"/>
          <w:szCs w:val="28"/>
          <w:highlight w:val="none"/>
        </w:rPr>
        <w:t>法定代表人：（</w:t>
      </w:r>
      <w:r>
        <w:rPr>
          <w:rFonts w:hint="eastAsia" w:ascii="仿宋_GB2312" w:hAnsi="华文楷体" w:eastAsia="仿宋_GB2312"/>
          <w:color w:val="auto"/>
          <w:sz w:val="28"/>
          <w:szCs w:val="28"/>
          <w:highlight w:val="none"/>
          <w:lang w:val="en-US" w:eastAsia="zh-CN"/>
        </w:rPr>
        <w:t>电子签章</w:t>
      </w:r>
      <w:r>
        <w:rPr>
          <w:rFonts w:hint="eastAsia" w:ascii="仿宋_GB2312" w:hAnsi="华文楷体" w:eastAsia="仿宋_GB2312"/>
          <w:color w:val="auto"/>
          <w:sz w:val="28"/>
          <w:szCs w:val="28"/>
          <w:highlight w:val="none"/>
        </w:rPr>
        <w:t>）</w:t>
      </w:r>
      <w:bookmarkEnd w:id="3"/>
      <w:r>
        <w:rPr>
          <w:rFonts w:hint="eastAsia" w:ascii="仿宋_GB2312" w:eastAsia="仿宋_GB2312"/>
          <w:color w:val="auto"/>
          <w:sz w:val="28"/>
          <w:szCs w:val="28"/>
          <w:highlight w:val="none"/>
        </w:rPr>
        <w:t xml:space="preserve">    </w:t>
      </w:r>
    </w:p>
    <w:p>
      <w:pPr>
        <w:spacing w:line="360" w:lineRule="auto"/>
        <w:jc w:val="righ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 </w:t>
      </w:r>
    </w:p>
    <w:p>
      <w:pPr>
        <w:spacing w:line="360" w:lineRule="auto"/>
        <w:rPr>
          <w:rFonts w:ascii="仿宋_GB2312" w:hAnsi="宋体" w:eastAsia="仿宋_GB2312" w:cs="Lucida Sans Unicode"/>
          <w:color w:val="auto"/>
          <w:sz w:val="30"/>
          <w:szCs w:val="30"/>
          <w:highlight w:val="none"/>
        </w:rPr>
      </w:pPr>
    </w:p>
    <w:p>
      <w:pPr>
        <w:spacing w:line="360" w:lineRule="auto"/>
        <w:rPr>
          <w:rFonts w:ascii="仿宋_GB2312" w:hAnsi="宋体" w:eastAsia="仿宋_GB2312" w:cs="Lucida Sans Unicode"/>
          <w:color w:val="auto"/>
          <w:sz w:val="30"/>
          <w:szCs w:val="30"/>
          <w:highlight w:val="none"/>
        </w:rPr>
      </w:pPr>
    </w:p>
    <w:p>
      <w:pPr>
        <w:spacing w:line="360" w:lineRule="auto"/>
        <w:rPr>
          <w:rFonts w:hint="eastAsia" w:ascii="仿宋_GB2312" w:hAnsi="宋体" w:eastAsia="仿宋_GB2312" w:cs="Lucida Sans Unicode"/>
          <w:color w:val="auto"/>
          <w:sz w:val="28"/>
          <w:szCs w:val="28"/>
          <w:highlight w:val="none"/>
        </w:rPr>
      </w:pPr>
    </w:p>
    <w:p>
      <w:pPr>
        <w:spacing w:line="360" w:lineRule="auto"/>
        <w:rPr>
          <w:rFonts w:hint="default" w:ascii="黑体" w:eastAsia="仿宋_GB2312"/>
          <w:color w:val="auto"/>
          <w:sz w:val="28"/>
          <w:szCs w:val="28"/>
          <w:highlight w:val="none"/>
          <w:lang w:val="en-US" w:eastAsia="zh-CN"/>
        </w:rPr>
      </w:pPr>
      <w:r>
        <w:rPr>
          <w:rFonts w:hint="eastAsia" w:ascii="仿宋_GB2312" w:hAnsi="宋体" w:eastAsia="仿宋_GB2312" w:cs="Lucida Sans Unicode"/>
          <w:color w:val="auto"/>
          <w:sz w:val="28"/>
          <w:szCs w:val="28"/>
          <w:highlight w:val="none"/>
        </w:rPr>
        <w:t>格式1</w:t>
      </w:r>
      <w:r>
        <w:rPr>
          <w:rFonts w:hint="eastAsia" w:ascii="仿宋_GB2312" w:hAnsi="宋体" w:eastAsia="仿宋_GB2312" w:cs="Lucida Sans Unicode"/>
          <w:color w:val="auto"/>
          <w:sz w:val="28"/>
          <w:szCs w:val="28"/>
          <w:highlight w:val="none"/>
          <w:lang w:val="en-US" w:eastAsia="zh-CN"/>
        </w:rPr>
        <w:t>0</w:t>
      </w:r>
    </w:p>
    <w:p>
      <w:pPr>
        <w:autoSpaceDN w:val="0"/>
        <w:snapToGrid w:val="0"/>
        <w:spacing w:before="50" w:afterAutospacing="1"/>
        <w:jc w:val="center"/>
        <w:rPr>
          <w:rFonts w:ascii="黑体" w:eastAsia="黑体"/>
          <w:color w:val="auto"/>
          <w:sz w:val="28"/>
          <w:szCs w:val="28"/>
          <w:highlight w:val="none"/>
        </w:rPr>
      </w:pPr>
      <w:r>
        <w:rPr>
          <w:rFonts w:ascii="黑体" w:eastAsia="黑体"/>
          <w:color w:val="auto"/>
          <w:sz w:val="28"/>
          <w:szCs w:val="28"/>
          <w:highlight w:val="none"/>
        </w:rPr>
        <w:t>商务响应表</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项目编号：</w:t>
      </w:r>
    </w:p>
    <w:tbl>
      <w:tblPr>
        <w:tblStyle w:val="28"/>
        <w:tblW w:w="852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70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磋商</w:t>
            </w:r>
            <w:r>
              <w:rPr>
                <w:rFonts w:ascii="宋体" w:hAnsi="宋体"/>
                <w:color w:val="auto"/>
                <w:sz w:val="21"/>
                <w:szCs w:val="21"/>
                <w:highlight w:val="none"/>
              </w:rPr>
              <w:t>文件要求</w:t>
            </w:r>
          </w:p>
        </w:tc>
        <w:tc>
          <w:tcPr>
            <w:tcW w:w="126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olor w:val="auto"/>
                <w:sz w:val="21"/>
                <w:szCs w:val="21"/>
                <w:highlight w:val="none"/>
              </w:rPr>
            </w:pPr>
            <w:r>
              <w:rPr>
                <w:rFonts w:ascii="宋体" w:hAnsi="宋体"/>
                <w:color w:val="auto"/>
                <w:sz w:val="21"/>
                <w:szCs w:val="21"/>
                <w:highlight w:val="none"/>
              </w:rPr>
              <w:t>是否响应</w:t>
            </w:r>
          </w:p>
        </w:tc>
        <w:tc>
          <w:tcPr>
            <w:tcW w:w="302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供应商</w:t>
            </w:r>
            <w:r>
              <w:rPr>
                <w:rFonts w:ascii="宋体" w:hAnsi="宋体"/>
                <w:color w:val="auto"/>
                <w:sz w:val="21"/>
                <w:szCs w:val="21"/>
                <w:highlight w:val="none"/>
              </w:rPr>
              <w:t>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napToGrid w:val="0"/>
              <w:spacing w:before="156" w:line="240" w:lineRule="exact"/>
              <w:jc w:val="center"/>
              <w:rPr>
                <w:rFonts w:ascii="宋体" w:hAnsi="宋体"/>
                <w:color w:val="auto"/>
                <w:sz w:val="21"/>
                <w:szCs w:val="21"/>
                <w:highlight w:val="none"/>
              </w:rPr>
            </w:pPr>
            <w:r>
              <w:rPr>
                <w:rFonts w:hint="eastAsia" w:ascii="宋体" w:hAnsi="宋体"/>
                <w:color w:val="auto"/>
                <w:sz w:val="21"/>
                <w:szCs w:val="21"/>
                <w:highlight w:val="none"/>
              </w:rPr>
              <w:t>…</w:t>
            </w:r>
          </w:p>
        </w:tc>
        <w:tc>
          <w:tcPr>
            <w:tcW w:w="27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c>
          <w:tcPr>
            <w:tcW w:w="3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exact"/>
              <w:jc w:val="center"/>
              <w:textAlignment w:val="top"/>
              <w:rPr>
                <w:rFonts w:ascii="宋体" w:hAnsi="宋体"/>
                <w:color w:val="auto"/>
                <w:sz w:val="21"/>
                <w:szCs w:val="21"/>
                <w:highlight w:val="none"/>
              </w:rPr>
            </w:pPr>
          </w:p>
        </w:tc>
      </w:tr>
    </w:tbl>
    <w:p>
      <w:pPr>
        <w:rPr>
          <w:rFonts w:ascii="宋体" w:hAnsi="宋体"/>
          <w:color w:val="auto"/>
          <w:sz w:val="21"/>
          <w:szCs w:val="21"/>
          <w:highlight w:val="none"/>
        </w:rPr>
      </w:pPr>
      <w:r>
        <w:rPr>
          <w:rFonts w:hint="eastAsia" w:ascii="宋体" w:hAnsi="宋体"/>
          <w:color w:val="auto"/>
          <w:sz w:val="21"/>
          <w:szCs w:val="21"/>
          <w:highlight w:val="none"/>
        </w:rPr>
        <w:t>注：1.供应商可根据实际情况自行添加表格内容；</w:t>
      </w:r>
    </w:p>
    <w:p>
      <w:pPr>
        <w:rPr>
          <w:rFonts w:ascii="宋体" w:hAnsi="宋体"/>
          <w:color w:val="auto"/>
          <w:sz w:val="21"/>
          <w:szCs w:val="21"/>
          <w:highlight w:val="none"/>
        </w:rPr>
      </w:pPr>
      <w:r>
        <w:rPr>
          <w:rFonts w:hint="eastAsia" w:ascii="宋体" w:hAnsi="宋体"/>
          <w:color w:val="auto"/>
          <w:sz w:val="21"/>
          <w:szCs w:val="21"/>
          <w:highlight w:val="none"/>
        </w:rPr>
        <w:t>2.供应商必须完全响应磋商文件商务要求，否则按无效标处理。</w:t>
      </w:r>
    </w:p>
    <w:p>
      <w:pPr>
        <w:rPr>
          <w:rFonts w:ascii="宋体" w:hAnsi="宋体"/>
          <w:color w:val="auto"/>
          <w:sz w:val="30"/>
          <w:szCs w:val="30"/>
          <w:highlight w:val="none"/>
        </w:rPr>
      </w:pPr>
    </w:p>
    <w:p>
      <w:pPr>
        <w:spacing w:line="360" w:lineRule="auto"/>
        <w:rPr>
          <w:rFonts w:ascii="仿宋_GB2312" w:hAnsi="宋体" w:eastAsia="仿宋_GB2312" w:cs="Lucida Sans Unicode"/>
          <w:color w:val="auto"/>
          <w:sz w:val="30"/>
          <w:szCs w:val="30"/>
          <w:highlight w:val="none"/>
        </w:rPr>
      </w:pP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供应商名称：（单位公章）     </w:t>
      </w: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val="en-US" w:eastAsia="zh-CN"/>
        </w:rPr>
        <w:t>电子签章</w:t>
      </w:r>
      <w:r>
        <w:rPr>
          <w:rFonts w:hint="eastAsia" w:ascii="仿宋_GB2312" w:eastAsia="仿宋_GB2312"/>
          <w:color w:val="auto"/>
          <w:sz w:val="28"/>
          <w:szCs w:val="28"/>
          <w:highlight w:val="none"/>
        </w:rPr>
        <w:t xml:space="preserve">） </w:t>
      </w:r>
    </w:p>
    <w:p>
      <w:pPr>
        <w:spacing w:line="360" w:lineRule="auto"/>
        <w:ind w:firstLine="560" w:firstLineChars="200"/>
        <w:jc w:val="right"/>
        <w:rPr>
          <w:rFonts w:ascii="仿宋_GB2312" w:hAnsi="宋体" w:eastAsia="仿宋_GB2312" w:cs="Lucida Sans Unicode"/>
          <w:color w:val="auto"/>
          <w:sz w:val="28"/>
          <w:szCs w:val="28"/>
          <w:highlight w:val="none"/>
        </w:rPr>
      </w:pPr>
      <w:r>
        <w:rPr>
          <w:rFonts w:hint="eastAsia" w:ascii="仿宋_GB2312" w:eastAsia="仿宋_GB2312"/>
          <w:color w:val="auto"/>
          <w:sz w:val="28"/>
          <w:szCs w:val="28"/>
          <w:highlight w:val="none"/>
        </w:rPr>
        <w:t xml:space="preserve"> 年  月  日</w:t>
      </w:r>
    </w:p>
    <w:p>
      <w:pPr>
        <w:spacing w:line="360" w:lineRule="auto"/>
        <w:rPr>
          <w:rFonts w:hint="eastAsia" w:ascii="仿宋_GB2312" w:hAnsi="宋体" w:eastAsia="仿宋_GB2312" w:cs="Lucida Sans Unicode"/>
          <w:color w:val="auto"/>
          <w:sz w:val="30"/>
          <w:szCs w:val="30"/>
          <w:highlight w:val="none"/>
        </w:rPr>
      </w:pPr>
    </w:p>
    <w:p>
      <w:pPr>
        <w:spacing w:line="360" w:lineRule="auto"/>
        <w:rPr>
          <w:rFonts w:hint="eastAsia" w:ascii="仿宋_GB2312" w:hAnsi="宋体" w:eastAsia="仿宋_GB2312" w:cs="Lucida Sans Unicode"/>
          <w:color w:val="auto"/>
          <w:sz w:val="28"/>
          <w:szCs w:val="28"/>
        </w:rPr>
      </w:pPr>
    </w:p>
    <w:p>
      <w:pPr>
        <w:spacing w:line="360" w:lineRule="auto"/>
        <w:rPr>
          <w:rFonts w:ascii="仿宋_GB2312" w:hAnsi="宋体" w:eastAsia="仿宋_GB2312" w:cs="Lucida Sans Unicode"/>
          <w:color w:val="auto"/>
          <w:sz w:val="30"/>
          <w:szCs w:val="30"/>
        </w:rPr>
      </w:pPr>
      <w:r>
        <w:rPr>
          <w:rFonts w:hint="eastAsia" w:ascii="仿宋_GB2312" w:hAnsi="宋体" w:eastAsia="仿宋_GB2312" w:cs="Lucida Sans Unicode"/>
          <w:color w:val="auto"/>
          <w:sz w:val="30"/>
          <w:szCs w:val="30"/>
        </w:rPr>
        <w:t>格式1</w:t>
      </w:r>
      <w:r>
        <w:rPr>
          <w:rFonts w:hint="eastAsia" w:ascii="仿宋_GB2312" w:hAnsi="宋体" w:eastAsia="仿宋_GB2312" w:cs="Lucida Sans Unicode"/>
          <w:color w:val="auto"/>
          <w:sz w:val="30"/>
          <w:szCs w:val="30"/>
          <w:lang w:val="en-US" w:eastAsia="zh-CN"/>
        </w:rPr>
        <w:t>1</w:t>
      </w:r>
      <w:r>
        <w:rPr>
          <w:rFonts w:hint="eastAsia" w:ascii="仿宋_GB2312" w:hAnsi="宋体" w:eastAsia="仿宋_GB2312" w:cs="Lucida Sans Unicode"/>
          <w:color w:val="auto"/>
          <w:sz w:val="30"/>
          <w:szCs w:val="30"/>
        </w:rPr>
        <w:t>-1</w:t>
      </w:r>
    </w:p>
    <w:p>
      <w:pPr>
        <w:autoSpaceDE w:val="0"/>
        <w:autoSpaceDN w:val="0"/>
        <w:jc w:val="center"/>
        <w:rPr>
          <w:rFonts w:ascii="黑体" w:eastAsia="黑体"/>
          <w:color w:val="auto"/>
          <w:sz w:val="30"/>
          <w:szCs w:val="30"/>
        </w:rPr>
      </w:pPr>
      <w:r>
        <w:rPr>
          <w:rFonts w:hint="eastAsia" w:ascii="黑体" w:eastAsia="黑体"/>
          <w:color w:val="auto"/>
          <w:sz w:val="30"/>
          <w:szCs w:val="30"/>
        </w:rPr>
        <w:t xml:space="preserve"> </w:t>
      </w:r>
    </w:p>
    <w:p>
      <w:pPr>
        <w:autoSpaceDE w:val="0"/>
        <w:autoSpaceDN w:val="0"/>
        <w:jc w:val="center"/>
        <w:rPr>
          <w:rFonts w:ascii="黑体" w:eastAsia="黑体"/>
          <w:color w:val="auto"/>
          <w:sz w:val="30"/>
          <w:szCs w:val="30"/>
        </w:rPr>
      </w:pPr>
    </w:p>
    <w:p>
      <w:pPr>
        <w:autoSpaceDE w:val="0"/>
        <w:autoSpaceDN w:val="0"/>
        <w:jc w:val="center"/>
        <w:rPr>
          <w:rFonts w:hint="eastAsia" w:ascii="黑体" w:eastAsia="黑体"/>
          <w:color w:val="auto"/>
          <w:sz w:val="30"/>
          <w:szCs w:val="30"/>
          <w:lang w:eastAsia="zh-CN"/>
        </w:rPr>
      </w:pPr>
      <w:r>
        <w:rPr>
          <w:rFonts w:hint="eastAsia" w:ascii="黑体" w:eastAsia="黑体"/>
          <w:color w:val="auto"/>
          <w:sz w:val="30"/>
          <w:szCs w:val="30"/>
          <w:lang w:eastAsia="zh-CN"/>
        </w:rPr>
        <w:t>项目服务实施方案</w:t>
      </w:r>
    </w:p>
    <w:p>
      <w:pPr>
        <w:spacing w:line="557" w:lineRule="atLeast"/>
        <w:ind w:firstLine="604" w:firstLineChars="200"/>
        <w:rPr>
          <w:rFonts w:hint="eastAsia" w:ascii="仿宋_GB2312" w:hAnsi="仿宋_GB2312" w:eastAsia="仿宋_GB2312"/>
          <w:color w:val="auto"/>
          <w:spacing w:val="1"/>
          <w:sz w:val="30"/>
          <w:szCs w:val="30"/>
        </w:rPr>
      </w:pPr>
    </w:p>
    <w:p>
      <w:pPr>
        <w:autoSpaceDE w:val="0"/>
        <w:autoSpaceDN w:val="0"/>
        <w:jc w:val="center"/>
        <w:rPr>
          <w:rFonts w:ascii="仿宋_GB2312" w:hAnsi="仿宋_GB2312" w:eastAsia="仿宋_GB2312"/>
          <w:color w:val="auto"/>
          <w:spacing w:val="1"/>
          <w:sz w:val="30"/>
          <w:szCs w:val="30"/>
        </w:rPr>
      </w:pPr>
      <w:r>
        <w:rPr>
          <w:rFonts w:hint="eastAsia" w:ascii="仿宋_GB2312" w:hAnsi="仿宋_GB2312" w:eastAsia="仿宋_GB2312"/>
          <w:color w:val="auto"/>
          <w:spacing w:val="1"/>
          <w:sz w:val="30"/>
          <w:szCs w:val="30"/>
        </w:rPr>
        <w:t>针对本项目的要求，编制</w:t>
      </w:r>
      <w:r>
        <w:rPr>
          <w:rFonts w:hint="eastAsia" w:ascii="黑体" w:eastAsia="黑体"/>
          <w:color w:val="auto"/>
          <w:sz w:val="30"/>
          <w:szCs w:val="30"/>
          <w:lang w:eastAsia="zh-CN"/>
        </w:rPr>
        <w:t>项目服务实施方案</w:t>
      </w:r>
      <w:r>
        <w:rPr>
          <w:rFonts w:hint="eastAsia" w:ascii="仿宋_GB2312" w:hAnsi="仿宋_GB2312" w:eastAsia="仿宋_GB2312"/>
          <w:color w:val="auto"/>
          <w:spacing w:val="1"/>
          <w:sz w:val="30"/>
          <w:szCs w:val="30"/>
        </w:rPr>
        <w:t>。</w:t>
      </w:r>
    </w:p>
    <w:p>
      <w:pPr>
        <w:spacing w:line="500" w:lineRule="exact"/>
        <w:ind w:firstLine="450" w:firstLineChars="150"/>
        <w:jc w:val="center"/>
        <w:rPr>
          <w:rFonts w:ascii="宋体" w:hAnsi="宋体"/>
          <w:bCs/>
          <w:color w:val="auto"/>
          <w:sz w:val="30"/>
          <w:szCs w:val="30"/>
        </w:rPr>
      </w:pPr>
    </w:p>
    <w:p>
      <w:pPr>
        <w:spacing w:line="500" w:lineRule="exact"/>
        <w:jc w:val="center"/>
        <w:rPr>
          <w:rFonts w:ascii="宋体" w:hAnsi="宋体"/>
          <w:b/>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spacing w:line="500" w:lineRule="exact"/>
        <w:jc w:val="left"/>
        <w:rPr>
          <w:rFonts w:ascii="仿宋_GB2312" w:hAnsi="宋体" w:eastAsia="仿宋_GB2312" w:cs="Lucida Sans Unicode"/>
          <w:color w:val="auto"/>
          <w:sz w:val="30"/>
          <w:szCs w:val="30"/>
        </w:rPr>
      </w:pPr>
    </w:p>
    <w:p>
      <w:pPr>
        <w:pStyle w:val="4"/>
        <w:rPr>
          <w:color w:val="auto"/>
          <w:sz w:val="30"/>
          <w:szCs w:val="30"/>
        </w:rPr>
      </w:pPr>
    </w:p>
    <w:p>
      <w:pPr>
        <w:spacing w:line="500" w:lineRule="exact"/>
        <w:jc w:val="left"/>
        <w:rPr>
          <w:rFonts w:ascii="仿宋_GB2312" w:hAnsi="宋体" w:eastAsia="仿宋_GB2312" w:cs="Lucida Sans Unicode"/>
          <w:color w:val="auto"/>
          <w:sz w:val="30"/>
          <w:szCs w:val="30"/>
        </w:rPr>
      </w:pPr>
    </w:p>
    <w:p>
      <w:pPr>
        <w:spacing w:line="360" w:lineRule="auto"/>
        <w:rPr>
          <w:rFonts w:ascii="仿宋_GB2312" w:hAnsi="宋体" w:eastAsia="仿宋_GB2312" w:cs="Lucida Sans Unicode"/>
          <w:color w:val="auto"/>
          <w:sz w:val="30"/>
          <w:szCs w:val="30"/>
        </w:rPr>
      </w:pPr>
      <w:r>
        <w:rPr>
          <w:rFonts w:hint="eastAsia" w:ascii="仿宋_GB2312" w:hAnsi="宋体" w:eastAsia="仿宋_GB2312" w:cs="Lucida Sans Unicode"/>
          <w:color w:val="auto"/>
          <w:sz w:val="30"/>
          <w:szCs w:val="30"/>
        </w:rPr>
        <w:t>格式1</w:t>
      </w:r>
      <w:r>
        <w:rPr>
          <w:rFonts w:hint="eastAsia" w:ascii="仿宋_GB2312" w:hAnsi="宋体" w:eastAsia="仿宋_GB2312" w:cs="Lucida Sans Unicode"/>
          <w:color w:val="auto"/>
          <w:sz w:val="30"/>
          <w:szCs w:val="30"/>
          <w:lang w:val="en-US" w:eastAsia="zh-CN"/>
        </w:rPr>
        <w:t>1</w:t>
      </w:r>
      <w:r>
        <w:rPr>
          <w:rFonts w:hint="eastAsia" w:ascii="仿宋_GB2312" w:hAnsi="宋体" w:eastAsia="仿宋_GB2312" w:cs="Lucida Sans Unicode"/>
          <w:color w:val="auto"/>
          <w:sz w:val="30"/>
          <w:szCs w:val="30"/>
        </w:rPr>
        <w:t>-2</w:t>
      </w:r>
    </w:p>
    <w:p>
      <w:pPr>
        <w:spacing w:line="500" w:lineRule="exact"/>
        <w:ind w:firstLine="3000" w:firstLineChars="1000"/>
        <w:jc w:val="left"/>
        <w:rPr>
          <w:rFonts w:ascii="宋体" w:hAnsi="宋体" w:cs="宋体"/>
          <w:color w:val="auto"/>
          <w:sz w:val="30"/>
          <w:szCs w:val="30"/>
        </w:rPr>
      </w:pPr>
      <w:r>
        <w:rPr>
          <w:rFonts w:hint="eastAsia" w:ascii="宋体" w:hAnsi="宋体" w:cs="宋体"/>
          <w:color w:val="auto"/>
          <w:sz w:val="30"/>
          <w:szCs w:val="30"/>
        </w:rPr>
        <w:t>拟投入本项目主要人员一览表</w:t>
      </w:r>
    </w:p>
    <w:p>
      <w:pPr>
        <w:pStyle w:val="11"/>
        <w:rPr>
          <w:color w:val="auto"/>
          <w:sz w:val="30"/>
          <w:szCs w:val="30"/>
        </w:rPr>
      </w:pPr>
    </w:p>
    <w:tbl>
      <w:tblPr>
        <w:tblStyle w:val="28"/>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94"/>
        <w:gridCol w:w="701"/>
        <w:gridCol w:w="702"/>
        <w:gridCol w:w="1753"/>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姓名</w:t>
            </w:r>
          </w:p>
        </w:tc>
        <w:tc>
          <w:tcPr>
            <w:tcW w:w="2894"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年龄</w:t>
            </w:r>
          </w:p>
        </w:tc>
        <w:tc>
          <w:tcPr>
            <w:tcW w:w="3410"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性别</w:t>
            </w:r>
          </w:p>
        </w:tc>
        <w:tc>
          <w:tcPr>
            <w:tcW w:w="2894"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职务</w:t>
            </w:r>
          </w:p>
        </w:tc>
        <w:tc>
          <w:tcPr>
            <w:tcW w:w="3410"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职称</w:t>
            </w:r>
          </w:p>
        </w:tc>
        <w:tc>
          <w:tcPr>
            <w:tcW w:w="2894"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403"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专业</w:t>
            </w:r>
          </w:p>
        </w:tc>
        <w:tc>
          <w:tcPr>
            <w:tcW w:w="3410"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毕业院校</w:t>
            </w:r>
          </w:p>
        </w:tc>
        <w:tc>
          <w:tcPr>
            <w:tcW w:w="7707" w:type="dxa"/>
            <w:gridSpan w:val="5"/>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128" w:type="dxa"/>
            <w:gridSpan w:val="6"/>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时间</w:t>
            </w:r>
          </w:p>
        </w:tc>
        <w:tc>
          <w:tcPr>
            <w:tcW w:w="359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项目名称</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担任职务</w:t>
            </w:r>
          </w:p>
        </w:tc>
        <w:tc>
          <w:tcPr>
            <w:tcW w:w="1657"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bCs/>
                <w:color w:val="auto"/>
                <w:sz w:val="21"/>
                <w:szCs w:val="21"/>
              </w:rPr>
            </w:pPr>
            <w:r>
              <w:rPr>
                <w:rFonts w:hint="eastAsia" w:hAnsi="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359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657"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359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657"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359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657"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21"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359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c>
          <w:tcPr>
            <w:tcW w:w="1657"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olor w:val="auto"/>
                <w:sz w:val="21"/>
                <w:szCs w:val="21"/>
              </w:rPr>
            </w:pPr>
          </w:p>
        </w:tc>
      </w:tr>
    </w:tbl>
    <w:p>
      <w:pPr>
        <w:spacing w:line="500" w:lineRule="exact"/>
        <w:rPr>
          <w:rFonts w:ascii="宋体" w:hAnsi="宋体"/>
          <w:b/>
          <w:color w:val="auto"/>
          <w:sz w:val="21"/>
          <w:szCs w:val="21"/>
        </w:rPr>
      </w:pPr>
      <w:r>
        <w:rPr>
          <w:rFonts w:hint="eastAsia" w:ascii="宋体" w:hAnsi="宋体"/>
          <w:color w:val="auto"/>
          <w:sz w:val="21"/>
          <w:szCs w:val="21"/>
        </w:rPr>
        <w:t>注：附项目负责人身份证、学历、资质证书等。</w:t>
      </w:r>
    </w:p>
    <w:p>
      <w:pPr>
        <w:keepNext w:val="0"/>
        <w:keepLines w:val="0"/>
        <w:pageBreakBefore w:val="0"/>
        <w:widowControl w:val="0"/>
        <w:kinsoku/>
        <w:wordWrap/>
        <w:overflowPunct/>
        <w:topLinePunct w:val="0"/>
        <w:autoSpaceDE/>
        <w:bidi w:val="0"/>
        <w:adjustRightInd w:val="0"/>
        <w:spacing w:line="540" w:lineRule="exact"/>
        <w:jc w:val="both"/>
        <w:textAlignment w:val="baseline"/>
        <w:rPr>
          <w:rFonts w:hint="eastAsia" w:ascii="仿宋_GB2312" w:hAnsi="宋体" w:eastAsia="仿宋_GB2312" w:cs="Lucida Sans Unicode"/>
          <w:color w:val="auto"/>
        </w:rPr>
      </w:pPr>
    </w:p>
    <w:p>
      <w:pPr>
        <w:keepNext w:val="0"/>
        <w:keepLines w:val="0"/>
        <w:pageBreakBefore w:val="0"/>
        <w:widowControl w:val="0"/>
        <w:kinsoku/>
        <w:wordWrap/>
        <w:overflowPunct/>
        <w:topLinePunct w:val="0"/>
        <w:autoSpaceDE/>
        <w:bidi w:val="0"/>
        <w:adjustRightInd w:val="0"/>
        <w:spacing w:line="540" w:lineRule="exact"/>
        <w:jc w:val="both"/>
        <w:textAlignment w:val="baseline"/>
        <w:rPr>
          <w:rFonts w:hint="eastAsia" w:ascii="仿宋_GB2312" w:hAnsi="宋体" w:eastAsia="仿宋_GB2312" w:cs="Lucida Sans Unicode"/>
          <w:color w:val="auto"/>
        </w:rPr>
      </w:pPr>
    </w:p>
    <w:p>
      <w:pPr>
        <w:keepNext w:val="0"/>
        <w:keepLines w:val="0"/>
        <w:pageBreakBefore w:val="0"/>
        <w:widowControl w:val="0"/>
        <w:kinsoku/>
        <w:wordWrap/>
        <w:overflowPunct/>
        <w:topLinePunct w:val="0"/>
        <w:autoSpaceDE/>
        <w:bidi w:val="0"/>
        <w:adjustRightInd w:val="0"/>
        <w:spacing w:line="540" w:lineRule="exact"/>
        <w:jc w:val="both"/>
        <w:textAlignment w:val="baseline"/>
        <w:rPr>
          <w:rFonts w:hint="eastAsia" w:ascii="仿宋_GB2312" w:hAnsi="宋体" w:eastAsia="仿宋_GB2312" w:cs="Lucida Sans Unicode"/>
          <w:color w:val="auto"/>
        </w:rPr>
      </w:pPr>
    </w:p>
    <w:p>
      <w:pPr>
        <w:spacing w:line="500" w:lineRule="exact"/>
        <w:jc w:val="center"/>
        <w:rPr>
          <w:rFonts w:hint="eastAsia" w:ascii="宋体" w:hAnsi="宋体"/>
          <w:b/>
          <w:color w:val="auto"/>
          <w:sz w:val="28"/>
          <w:szCs w:val="32"/>
        </w:rPr>
      </w:pPr>
    </w:p>
    <w:p>
      <w:pPr>
        <w:spacing w:line="500" w:lineRule="exact"/>
        <w:jc w:val="center"/>
        <w:rPr>
          <w:rFonts w:hint="eastAsia" w:ascii="宋体" w:hAnsi="宋体"/>
          <w:b/>
          <w:color w:val="auto"/>
          <w:sz w:val="28"/>
          <w:szCs w:val="32"/>
        </w:rPr>
      </w:pPr>
    </w:p>
    <w:p>
      <w:pPr>
        <w:spacing w:line="360" w:lineRule="auto"/>
        <w:rPr>
          <w:rFonts w:hint="eastAsia" w:ascii="宋体" w:hAnsi="宋体" w:eastAsia="仿宋_GB2312"/>
          <w:b/>
          <w:color w:val="auto"/>
          <w:sz w:val="28"/>
          <w:szCs w:val="32"/>
          <w:lang w:val="en-US" w:eastAsia="zh-CN"/>
        </w:rPr>
      </w:pPr>
      <w:r>
        <w:rPr>
          <w:rFonts w:hint="eastAsia" w:ascii="仿宋_GB2312" w:hAnsi="宋体" w:eastAsia="仿宋_GB2312" w:cs="Lucida Sans Unicode"/>
          <w:color w:val="auto"/>
          <w:sz w:val="30"/>
          <w:szCs w:val="30"/>
        </w:rPr>
        <w:t>格式1</w:t>
      </w:r>
      <w:r>
        <w:rPr>
          <w:rFonts w:hint="eastAsia" w:ascii="仿宋_GB2312" w:hAnsi="宋体" w:eastAsia="仿宋_GB2312" w:cs="Lucida Sans Unicode"/>
          <w:color w:val="auto"/>
          <w:sz w:val="30"/>
          <w:szCs w:val="30"/>
          <w:lang w:val="en-US" w:eastAsia="zh-CN"/>
        </w:rPr>
        <w:t>1</w:t>
      </w:r>
      <w:r>
        <w:rPr>
          <w:rFonts w:hint="eastAsia" w:ascii="仿宋_GB2312" w:hAnsi="宋体" w:eastAsia="仿宋_GB2312" w:cs="Lucida Sans Unicode"/>
          <w:color w:val="auto"/>
          <w:sz w:val="30"/>
          <w:szCs w:val="30"/>
        </w:rPr>
        <w:t>-</w:t>
      </w:r>
      <w:r>
        <w:rPr>
          <w:rFonts w:hint="eastAsia" w:ascii="仿宋_GB2312" w:hAnsi="宋体" w:eastAsia="仿宋_GB2312" w:cs="Lucida Sans Unicode"/>
          <w:color w:val="auto"/>
          <w:sz w:val="30"/>
          <w:szCs w:val="30"/>
          <w:lang w:val="en-US" w:eastAsia="zh-CN"/>
        </w:rPr>
        <w:t>3</w:t>
      </w:r>
    </w:p>
    <w:p>
      <w:pPr>
        <w:spacing w:line="500" w:lineRule="exact"/>
        <w:jc w:val="center"/>
        <w:rPr>
          <w:rFonts w:hint="eastAsia" w:ascii="宋体" w:hAnsi="宋体"/>
          <w:b/>
          <w:color w:val="auto"/>
          <w:sz w:val="28"/>
          <w:szCs w:val="32"/>
        </w:rPr>
      </w:pPr>
      <w:r>
        <w:rPr>
          <w:rFonts w:hint="eastAsia" w:ascii="宋体" w:hAnsi="宋体"/>
          <w:b/>
          <w:color w:val="auto"/>
          <w:sz w:val="28"/>
          <w:szCs w:val="32"/>
        </w:rPr>
        <w:t>参加本项目组成人员表</w:t>
      </w:r>
    </w:p>
    <w:p>
      <w:pPr>
        <w:spacing w:line="500" w:lineRule="exact"/>
        <w:ind w:firstLine="321" w:firstLineChars="100"/>
        <w:jc w:val="center"/>
        <w:rPr>
          <w:rFonts w:hint="eastAsia" w:ascii="宋体" w:hAnsi="宋体"/>
          <w:b/>
          <w:color w:val="auto"/>
          <w:sz w:val="32"/>
          <w:szCs w:val="32"/>
        </w:rPr>
      </w:pPr>
    </w:p>
    <w:tbl>
      <w:tblPr>
        <w:tblStyle w:val="28"/>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69"/>
        <w:gridCol w:w="1268"/>
        <w:gridCol w:w="1268"/>
        <w:gridCol w:w="1268"/>
        <w:gridCol w:w="142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序号</w:t>
            </w:r>
          </w:p>
        </w:tc>
        <w:tc>
          <w:tcPr>
            <w:tcW w:w="1669"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姓名</w:t>
            </w:r>
          </w:p>
        </w:tc>
        <w:tc>
          <w:tcPr>
            <w:tcW w:w="1268"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职务</w:t>
            </w:r>
          </w:p>
        </w:tc>
        <w:tc>
          <w:tcPr>
            <w:tcW w:w="1268"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职称</w:t>
            </w:r>
          </w:p>
        </w:tc>
        <w:tc>
          <w:tcPr>
            <w:tcW w:w="1268"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专业</w:t>
            </w:r>
          </w:p>
        </w:tc>
        <w:tc>
          <w:tcPr>
            <w:tcW w:w="1421"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注册资格</w:t>
            </w:r>
          </w:p>
        </w:tc>
        <w:tc>
          <w:tcPr>
            <w:tcW w:w="999"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1</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2</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3</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4</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5</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6</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7</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8</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9</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10</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67" w:type="dxa"/>
            <w:noWrap w:val="0"/>
            <w:vAlign w:val="center"/>
          </w:tcPr>
          <w:p>
            <w:pPr>
              <w:spacing w:line="500" w:lineRule="exact"/>
              <w:jc w:val="center"/>
              <w:rPr>
                <w:rFonts w:hint="eastAsia" w:ascii="宋体" w:hAnsi="宋体"/>
                <w:color w:val="auto"/>
                <w:szCs w:val="24"/>
              </w:rPr>
            </w:pPr>
            <w:r>
              <w:rPr>
                <w:rFonts w:hint="eastAsia" w:ascii="宋体" w:hAnsi="宋体"/>
                <w:color w:val="auto"/>
                <w:szCs w:val="24"/>
              </w:rPr>
              <w:t>11</w:t>
            </w:r>
          </w:p>
        </w:tc>
        <w:tc>
          <w:tcPr>
            <w:tcW w:w="1669"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268" w:type="dxa"/>
            <w:noWrap w:val="0"/>
            <w:vAlign w:val="center"/>
          </w:tcPr>
          <w:p>
            <w:pPr>
              <w:spacing w:line="500" w:lineRule="exact"/>
              <w:jc w:val="center"/>
              <w:rPr>
                <w:rFonts w:hint="eastAsia" w:ascii="宋体" w:hAnsi="宋体"/>
                <w:color w:val="auto"/>
                <w:szCs w:val="24"/>
              </w:rPr>
            </w:pPr>
          </w:p>
        </w:tc>
        <w:tc>
          <w:tcPr>
            <w:tcW w:w="1421" w:type="dxa"/>
            <w:noWrap w:val="0"/>
            <w:vAlign w:val="center"/>
          </w:tcPr>
          <w:p>
            <w:pPr>
              <w:spacing w:line="500" w:lineRule="exact"/>
              <w:jc w:val="center"/>
              <w:rPr>
                <w:rFonts w:hint="eastAsia" w:ascii="宋体" w:hAnsi="宋体"/>
                <w:color w:val="auto"/>
                <w:szCs w:val="24"/>
              </w:rPr>
            </w:pPr>
          </w:p>
        </w:tc>
        <w:tc>
          <w:tcPr>
            <w:tcW w:w="999" w:type="dxa"/>
            <w:noWrap w:val="0"/>
            <w:vAlign w:val="center"/>
          </w:tcPr>
          <w:p>
            <w:pPr>
              <w:spacing w:line="500" w:lineRule="exact"/>
              <w:jc w:val="center"/>
              <w:rPr>
                <w:rFonts w:hint="eastAsia" w:ascii="宋体" w:hAnsi="宋体"/>
                <w:color w:val="auto"/>
                <w:szCs w:val="24"/>
              </w:rPr>
            </w:pPr>
          </w:p>
        </w:tc>
      </w:tr>
    </w:tbl>
    <w:p>
      <w:pPr>
        <w:spacing w:line="500" w:lineRule="exact"/>
        <w:ind w:firstLine="210" w:firstLineChars="100"/>
        <w:rPr>
          <w:rFonts w:hint="eastAsia" w:ascii="宋体" w:hAnsi="宋体"/>
          <w:color w:val="auto"/>
          <w:szCs w:val="24"/>
        </w:rPr>
      </w:pPr>
      <w:r>
        <w:rPr>
          <w:rFonts w:hint="eastAsia" w:ascii="宋体" w:hAnsi="宋体"/>
          <w:color w:val="auto"/>
          <w:szCs w:val="24"/>
        </w:rPr>
        <w:t>注：1、所设栏目不够可自行增加；</w:t>
      </w:r>
    </w:p>
    <w:p>
      <w:pPr>
        <w:spacing w:line="500" w:lineRule="exact"/>
        <w:ind w:firstLine="210" w:firstLineChars="100"/>
        <w:rPr>
          <w:rFonts w:hint="eastAsia" w:ascii="宋体" w:hAnsi="宋体"/>
          <w:color w:val="auto"/>
          <w:sz w:val="28"/>
          <w:szCs w:val="28"/>
        </w:rPr>
      </w:pPr>
      <w:r>
        <w:rPr>
          <w:rFonts w:hint="eastAsia" w:ascii="宋体" w:hAnsi="宋体"/>
          <w:color w:val="auto"/>
          <w:szCs w:val="24"/>
        </w:rPr>
        <w:t xml:space="preserve">    2、附相关人员资格证书。</w:t>
      </w:r>
    </w:p>
    <w:p>
      <w:pPr>
        <w:spacing w:line="500" w:lineRule="exact"/>
        <w:ind w:firstLine="321" w:firstLineChars="100"/>
        <w:jc w:val="center"/>
        <w:rPr>
          <w:rFonts w:hint="eastAsia" w:ascii="宋体" w:hAnsi="宋体"/>
          <w:b/>
          <w:color w:val="auto"/>
          <w:sz w:val="32"/>
          <w:szCs w:val="32"/>
        </w:rPr>
      </w:pPr>
    </w:p>
    <w:p>
      <w:pPr>
        <w:spacing w:line="360" w:lineRule="auto"/>
        <w:rPr>
          <w:rFonts w:hint="eastAsia" w:ascii="仿宋_GB2312" w:hAnsi="宋体" w:eastAsia="仿宋_GB2312" w:cs="Lucida Sans Unicode"/>
          <w:color w:val="auto"/>
          <w:sz w:val="30"/>
          <w:szCs w:val="30"/>
        </w:rPr>
      </w:pPr>
    </w:p>
    <w:p>
      <w:pPr>
        <w:spacing w:line="360" w:lineRule="auto"/>
        <w:rPr>
          <w:rFonts w:hint="eastAsia" w:ascii="仿宋_GB2312" w:hAnsi="宋体" w:eastAsia="仿宋_GB2312" w:cs="Lucida Sans Unicode"/>
          <w:color w:val="auto"/>
          <w:sz w:val="30"/>
          <w:szCs w:val="30"/>
        </w:rPr>
      </w:pPr>
    </w:p>
    <w:p>
      <w:pPr>
        <w:spacing w:line="360" w:lineRule="auto"/>
        <w:rPr>
          <w:rFonts w:hint="eastAsia" w:ascii="仿宋_GB2312" w:hAnsi="宋体" w:eastAsia="仿宋_GB2312" w:cs="Lucida Sans Unicode"/>
          <w:color w:val="auto"/>
          <w:sz w:val="30"/>
          <w:szCs w:val="30"/>
        </w:rPr>
      </w:pPr>
    </w:p>
    <w:p>
      <w:pPr>
        <w:spacing w:line="360" w:lineRule="auto"/>
        <w:jc w:val="center"/>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第五</w:t>
      </w:r>
      <w:r>
        <w:rPr>
          <w:rFonts w:hint="eastAsia" w:ascii="黑体" w:hAnsi="黑体" w:eastAsia="黑体" w:cs="黑体"/>
          <w:b/>
          <w:bCs/>
          <w:color w:val="auto"/>
          <w:sz w:val="28"/>
          <w:szCs w:val="28"/>
          <w:highlight w:val="none"/>
          <w:lang w:val="en-US" w:eastAsia="zh-CN"/>
        </w:rPr>
        <w:t>章</w:t>
      </w:r>
      <w:r>
        <w:rPr>
          <w:rFonts w:hint="eastAsia" w:ascii="黑体" w:hAnsi="黑体" w:eastAsia="黑体" w:cs="黑体"/>
          <w:b/>
          <w:bCs/>
          <w:color w:val="auto"/>
          <w:sz w:val="28"/>
          <w:szCs w:val="28"/>
          <w:highlight w:val="none"/>
        </w:rPr>
        <w:t xml:space="preserve">  合同</w:t>
      </w:r>
      <w:r>
        <w:rPr>
          <w:rFonts w:hint="eastAsia" w:ascii="黑体" w:hAnsi="黑体" w:eastAsia="黑体" w:cs="黑体"/>
          <w:b/>
          <w:bCs/>
          <w:color w:val="auto"/>
          <w:sz w:val="28"/>
          <w:szCs w:val="28"/>
          <w:highlight w:val="none"/>
          <w:lang w:eastAsia="zh-CN"/>
        </w:rPr>
        <w:t>主要条款（参考）</w:t>
      </w:r>
      <w:r>
        <w:rPr>
          <w:rFonts w:hint="eastAsia" w:ascii="黑体" w:hAnsi="黑体" w:eastAsia="黑体" w:cs="黑体"/>
          <w:b/>
          <w:bCs/>
          <w:color w:val="auto"/>
          <w:sz w:val="28"/>
          <w:szCs w:val="28"/>
          <w:highlight w:val="none"/>
        </w:rPr>
        <w:t xml:space="preserve"> </w:t>
      </w:r>
    </w:p>
    <w:p>
      <w:pPr>
        <w:pStyle w:val="4"/>
        <w:rPr>
          <w:color w:val="auto"/>
          <w:sz w:val="28"/>
          <w:szCs w:val="28"/>
          <w:highlight w:val="none"/>
        </w:rPr>
      </w:pPr>
    </w:p>
    <w:p>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 合同签订双方可根据项目的具体要求进行适当修订。但是应当包括采购人与成交供应商的名称和住所、标的、数量、质量、价款或者报酬、履行期限及地点和方式、验收要求、违约责任、解决争议的方法等内容。</w:t>
      </w:r>
    </w:p>
    <w:p>
      <w:pPr>
        <w:autoSpaceDE w:val="0"/>
        <w:autoSpaceDN w:val="0"/>
        <w:adjustRightInd w:val="0"/>
        <w:spacing w:line="360" w:lineRule="auto"/>
        <w:jc w:val="center"/>
        <w:rPr>
          <w:rFonts w:ascii="仿宋_GB2312" w:eastAsia="仿宋_GB2312" w:cs="仿宋_GB2312"/>
          <w:b/>
          <w:bCs/>
          <w:color w:val="auto"/>
          <w:kern w:val="0"/>
          <w:sz w:val="30"/>
          <w:szCs w:val="30"/>
          <w:highlight w:val="none"/>
          <w:lang w:val="zh-CN"/>
        </w:rPr>
      </w:pPr>
    </w:p>
    <w:p>
      <w:pPr>
        <w:autoSpaceDE w:val="0"/>
        <w:autoSpaceDN w:val="0"/>
        <w:adjustRightInd w:val="0"/>
        <w:spacing w:line="360" w:lineRule="auto"/>
        <w:jc w:val="center"/>
        <w:rPr>
          <w:rFonts w:ascii="仿宋_GB2312" w:eastAsia="仿宋_GB2312" w:cs="仿宋_GB2312"/>
          <w:color w:val="auto"/>
          <w:kern w:val="0"/>
          <w:sz w:val="30"/>
          <w:szCs w:val="30"/>
          <w:highlight w:val="none"/>
          <w:lang w:val="zh-CN"/>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spacing w:line="240" w:lineRule="atLeast"/>
        <w:ind w:firstLine="600" w:firstLineChars="200"/>
        <w:rPr>
          <w:rFonts w:ascii="仿宋_GB2312" w:eastAsia="仿宋_GB2312"/>
          <w:color w:val="auto"/>
          <w:sz w:val="30"/>
          <w:szCs w:val="30"/>
          <w:highlight w:val="none"/>
        </w:rPr>
      </w:pPr>
    </w:p>
    <w:p>
      <w:pPr>
        <w:pStyle w:val="4"/>
        <w:rPr>
          <w:color w:val="auto"/>
          <w:sz w:val="30"/>
          <w:szCs w:val="30"/>
          <w:highlight w:val="none"/>
        </w:rPr>
      </w:pPr>
    </w:p>
    <w:p>
      <w:pPr>
        <w:spacing w:line="240" w:lineRule="atLeas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甲方（需方）：_________</w:t>
      </w:r>
    </w:p>
    <w:p>
      <w:pPr>
        <w:spacing w:line="240" w:lineRule="atLeas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乙方（供方）：_________</w:t>
      </w:r>
    </w:p>
    <w:p>
      <w:pPr>
        <w:spacing w:line="360" w:lineRule="auto"/>
        <w:ind w:firstLine="560" w:firstLineChars="200"/>
        <w:rPr>
          <w:rFonts w:hint="eastAsia" w:ascii="仿宋_GB2312" w:hAnsi="宋体" w:eastAsia="仿宋_GB2312"/>
          <w:color w:val="auto"/>
          <w:sz w:val="28"/>
          <w:szCs w:val="28"/>
        </w:rPr>
      </w:pPr>
      <w:r>
        <w:rPr>
          <w:rFonts w:hint="eastAsia" w:ascii="仿宋_GB2312" w:eastAsia="仿宋_GB2312"/>
          <w:color w:val="auto"/>
          <w:sz w:val="28"/>
          <w:szCs w:val="28"/>
        </w:rPr>
        <w:t>经过双方友好协商，依据《中华人民共和国</w:t>
      </w:r>
      <w:r>
        <w:rPr>
          <w:rFonts w:hint="eastAsia" w:ascii="仿宋_GB2312" w:eastAsia="仿宋_GB2312"/>
          <w:color w:val="auto"/>
          <w:sz w:val="28"/>
          <w:szCs w:val="28"/>
          <w:lang w:val="en-US" w:eastAsia="zh-CN"/>
        </w:rPr>
        <w:t>民法典</w:t>
      </w:r>
      <w:r>
        <w:rPr>
          <w:rFonts w:hint="eastAsia" w:ascii="仿宋_GB2312" w:eastAsia="仿宋_GB2312"/>
          <w:color w:val="auto"/>
          <w:sz w:val="28"/>
          <w:szCs w:val="28"/>
        </w:rPr>
        <w:t>》，双方同意签订以下合同条款，以便双方共同遵守、履行合同。</w:t>
      </w:r>
    </w:p>
    <w:p>
      <w:pPr>
        <w:numPr>
          <w:ilvl w:val="0"/>
          <w:numId w:val="7"/>
        </w:numPr>
        <w:spacing w:line="360" w:lineRule="auto"/>
        <w:ind w:left="482"/>
        <w:jc w:val="both"/>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合同内容</w:t>
      </w:r>
    </w:p>
    <w:p>
      <w:pPr>
        <w:spacing w:line="560" w:lineRule="exact"/>
        <w:ind w:left="482"/>
        <w:rPr>
          <w:rFonts w:hint="eastAsia" w:ascii="仿宋_GB2312" w:hAnsi="仿宋_GB2312" w:eastAsia="仿宋_GB2312" w:cs="仿宋_GB2312"/>
          <w:b/>
          <w:color w:val="auto"/>
          <w:sz w:val="28"/>
          <w:szCs w:val="28"/>
        </w:rPr>
      </w:pP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第二条  合同总金额</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本合同服务总金额：￥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本合同总金额包括服务期间必须的外业调查、文图编制、报告印刷、数据库制作、规划评审验收、后期技术服务等各项相关费用。</w:t>
      </w: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第三条  权利义务和质量保证</w:t>
      </w:r>
    </w:p>
    <w:p>
      <w:pPr>
        <w:pStyle w:val="14"/>
        <w:tabs>
          <w:tab w:val="left" w:pos="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保证服务期间，对乙方工作给予支持。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pPr>
        <w:pStyle w:val="14"/>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第四条  付款方式</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1.本合同项下所有款项均以人民币支付。</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2.乙方向甲方提交下列文件材料，经甲方审核无误后支付采购资金：</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（1）经甲方确认的相应金额正式发票；</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（2）经甲乙双方确认签署的《评审意见》（或按项目进度阶段性《验收报告》）；</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（3）其他材料。</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3.款项的支付进度以招标采购文件的有关规定为准。如招标采购文件未作特别规定，则付款进度应符合如下约定：</w:t>
      </w:r>
    </w:p>
    <w:p>
      <w:pPr>
        <w:spacing w:line="560" w:lineRule="exact"/>
        <w:ind w:firstLine="281" w:firstLineChars="1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第五条  验收</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甲方组织填写《“奔跑吧少年”系列活动满意度调查问卷》，满意度需达到90%。</w:t>
      </w:r>
    </w:p>
    <w:p>
      <w:pPr>
        <w:pStyle w:val="14"/>
        <w:tabs>
          <w:tab w:val="left" w:pos="0"/>
        </w:tabs>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乙方应对提供的服务成果作出全面自查和整理，并列出清单，作为甲方验收和使用的服务条件依据，清单应随提供的服务成果交给甲方。</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验收时，甲乙双方必须同时在场，乙方所提供的服务不符合合同约定的，甲方有权拒绝验收。乙方应及时按本合同内容规定和甲方要求免费进行整改，直至验收合格，方视为乙方按本合同约定完成服务。验收合格的，由双方共同签署《验收报告》。在经过两次限期整改后，服务仍达不到合同文件约定内容的，甲方有权拒收，并可以解除合同；由此引起甲方损失及赔偿责任由乙方承担。</w:t>
      </w:r>
    </w:p>
    <w:p>
      <w:pPr>
        <w:snapToGrid w:val="0"/>
        <w:spacing w:line="560" w:lineRule="exact"/>
        <w:ind w:firstLine="48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4.甲方可以视项目规模或复杂情况聘请专业人员参与验收，大型或复杂项目，以及涉及专业服务内容的应当邀请国家认可的第三方质量检测机构参与验收。</w:t>
      </w:r>
    </w:p>
    <w:p>
      <w:pPr>
        <w:snapToGrid w:val="0"/>
        <w:spacing w:line="560" w:lineRule="exact"/>
        <w:ind w:firstLine="48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5.如根据项目实施情况需要分阶段验收，则双方分阶段签署《验收报告》。</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6.如果合同双方对《验收报告》有分歧，双方须于出现分歧后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天内向对方出具书面声明，以陈述己方的理由及要求，并附有关证据。分歧应通过协商解决。</w:t>
      </w:r>
    </w:p>
    <w:p>
      <w:pPr>
        <w:spacing w:line="560" w:lineRule="exact"/>
        <w:ind w:firstLine="551" w:firstLineChars="196"/>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第六条  后期服务</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1.乙方提供服务的质量保证期为自服务通过最终验收之日起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个月。若国家有明确规定的质量保证期高于此质量保证期的，执行国家规定。</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2.服务期内，乙方应提供相关服务支持。对甲方所反映的任何服务问题在</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rPr>
        <w:t>日（小时）之内做出及时响应，在</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日（小时）之内赶到现场实地解决问题。若问题在</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工作日（小时）后仍无法解决，乙方应在</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日（小时）内免费提供服务的补偿、替换方案，直至服务恢复正常。</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3.乙方必须遵守甲方的有关管理制度、操作规程。对于乙方违规操作造成甲方损失的，由乙方按照本合同第十二条的约定承担赔偿责任。</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第七条  合同的生效</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1.本合同经甲乙双方法定代表人或委托代理人签字并加盖公章或合同专用章之日起生效。</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2.生效后，除《政府采购法》第49条、第50条第二款规定的情形外，甲乙双方不得擅自变更、中止或解除合同。</w:t>
      </w: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第八条  违约责任</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1.乙方所交付服务成果不符合本合同约定的，甲方有权拒收，乙方在得到甲方通知之日起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个工作日内采取补救措施，逾期仍未采取有效措施的，甲方有权要求乙方赔偿因此造成的损失或扣留履约保证金；同时乙方应向甲方支付合同总价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％的违约金。</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2.甲方无正当理由拒收服务，甲方应向乙方偿付拒付服务费用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％的违约金。</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3.乙方无正当理由逾期交付服务的，每逾期1天，乙方向甲方偿付合同总额的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‰的违约金。如乙方逾期达</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天，甲方有权解除合同，甲方解除合同的通知自到达乙方时生效。在此情况下，乙方给甲方造成的实际损失高于违约金的，对高出违约金的部分乙方应予以赔偿。</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4.甲方未按合同规定的期限向乙方支付合同款的，每逾期1天甲方向乙方支付应付金额的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‰违约金，但累计违约金总额不超过应付款总额的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5.其它未尽事宜，以《</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rPr>
        <w:t>》和《政府采购法》等有关法律法规规定为准，无相关规定的，双方协商解决。</w:t>
      </w: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第九条  不可抗力</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甲、乙方中任何一方，因不可抗力不能按时或完全履行合同的，应及时通知对方，并在</w:t>
      </w:r>
      <w:r>
        <w:rPr>
          <w:rFonts w:hint="eastAsia" w:ascii="仿宋_GB2312" w:hAnsi="仿宋_GB2312" w:eastAsia="仿宋_GB2312" w:cs="仿宋_GB2312"/>
          <w:bCs/>
          <w:color w:val="auto"/>
          <w:sz w:val="28"/>
          <w:szCs w:val="28"/>
        </w:rPr>
        <w:t>不可抗力发生后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个工作日内提供相应证明，结算服务费用。未履行的部分是否继续履行、如何履行等问题，可由双方初步协商，并向主管部门和政府采购管理部门报告。确定为不可抗力原因造成的损失，免予承担责任。</w:t>
      </w:r>
    </w:p>
    <w:p>
      <w:pPr>
        <w:spacing w:line="560" w:lineRule="exact"/>
        <w:ind w:left="48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第十条  争议的解决方式</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1.因服务质量问题发生争议的，</w:t>
      </w:r>
      <w:r>
        <w:rPr>
          <w:rFonts w:hint="eastAsia" w:ascii="仿宋_GB2312" w:hAnsi="仿宋_GB2312" w:eastAsia="仿宋_GB2312" w:cs="仿宋_GB2312"/>
          <w:bCs/>
          <w:color w:val="auto"/>
          <w:sz w:val="28"/>
          <w:szCs w:val="28"/>
        </w:rPr>
        <w:t>双方共同邀请</w:t>
      </w:r>
      <w:r>
        <w:rPr>
          <w:rFonts w:hint="eastAsia" w:ascii="仿宋_GB2312" w:hAnsi="仿宋_GB2312" w:eastAsia="仿宋_GB2312" w:cs="仿宋_GB2312"/>
          <w:color w:val="auto"/>
          <w:sz w:val="28"/>
          <w:szCs w:val="28"/>
        </w:rPr>
        <w:t>邀请国家认可的质量检测机构对服务进行鉴定，</w:t>
      </w:r>
      <w:r>
        <w:rPr>
          <w:rFonts w:hint="eastAsia" w:ascii="仿宋_GB2312" w:hAnsi="仿宋_GB2312" w:eastAsia="仿宋_GB2312" w:cs="仿宋_GB2312"/>
          <w:bCs/>
          <w:color w:val="auto"/>
          <w:sz w:val="28"/>
          <w:szCs w:val="28"/>
        </w:rPr>
        <w:t>鉴定费用由乙方垫付</w:t>
      </w:r>
      <w:r>
        <w:rPr>
          <w:rFonts w:hint="eastAsia" w:ascii="仿宋_GB2312" w:hAnsi="仿宋_GB2312" w:eastAsia="仿宋_GB2312" w:cs="仿宋_GB2312"/>
          <w:color w:val="auto"/>
          <w:sz w:val="28"/>
          <w:szCs w:val="28"/>
        </w:rPr>
        <w:t>。服务符合标准的，鉴定费由甲方承担；不符合质量标准的，鉴定费由乙方承担。</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2.在解释或者执行本合同的过程中发生争议时，双方应通过协商方式解决。</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3.经协商不能解决的争议，双方可选择以下第   种方式解决：</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w:t>
      </w:r>
      <w:r>
        <w:rPr>
          <w:rFonts w:hint="eastAsia" w:ascii="仿宋_GB2312" w:hAnsi="仿宋_GB2312" w:eastAsia="仿宋_GB2312" w:cs="仿宋_GB2312"/>
          <w:bCs/>
          <w:color w:val="auto"/>
          <w:sz w:val="28"/>
          <w:szCs w:val="28"/>
        </w:rPr>
        <w:t>向甲方所在地有管辖权的法院提起诉讼；</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②向焦作市仲裁委员会提出仲裁。</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bCs/>
          <w:color w:val="auto"/>
          <w:sz w:val="28"/>
          <w:szCs w:val="28"/>
        </w:rPr>
        <w:t>在诉讼审理或仲裁期间</w:t>
      </w:r>
      <w:r>
        <w:rPr>
          <w:rFonts w:hint="eastAsia" w:ascii="仿宋_GB2312" w:hAnsi="仿宋_GB2312" w:eastAsia="仿宋_GB2312" w:cs="仿宋_GB2312"/>
          <w:color w:val="auto"/>
          <w:sz w:val="28"/>
          <w:szCs w:val="28"/>
        </w:rPr>
        <w:t>，除有争议部分外，本合同其他部分可以履行的仍应按合同条款继续履行。</w:t>
      </w:r>
    </w:p>
    <w:p>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第十一条  其他</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1．本合同一式五份，甲乙双方各执两份，采购代理机构一份；</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2．本合同自法定代表人或委托代理人签字并加盖公章或合同专用章之日起生效；</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文件、</w:t>
      </w:r>
      <w:r>
        <w:rPr>
          <w:rFonts w:hint="eastAsia" w:ascii="仿宋_GB2312" w:hAnsi="仿宋_GB2312" w:eastAsia="仿宋_GB2312" w:cs="仿宋_GB2312"/>
          <w:color w:val="auto"/>
          <w:sz w:val="28"/>
          <w:szCs w:val="28"/>
          <w:lang w:val="en-US" w:eastAsia="zh-CN"/>
        </w:rPr>
        <w:t>响应性</w:t>
      </w:r>
      <w:r>
        <w:rPr>
          <w:rFonts w:hint="eastAsia" w:ascii="仿宋_GB2312" w:hAnsi="仿宋_GB2312" w:eastAsia="仿宋_GB2312" w:cs="仿宋_GB2312"/>
          <w:color w:val="auto"/>
          <w:sz w:val="28"/>
          <w:szCs w:val="28"/>
        </w:rPr>
        <w:t>文件、</w:t>
      </w: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rPr>
        <w:t>通知书是合同的附件，与合同具有同等的法律效力；</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4．其它未尽事宜，由双方友好协商解决，并参照《中华人民共和国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rPr>
        <w:t>》有关条款执行。</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甲方（盖章）：_________　　　　　乙方（盖章）：________</w:t>
      </w:r>
    </w:p>
    <w:p>
      <w:pPr>
        <w:spacing w:line="560" w:lineRule="exact"/>
        <w:ind w:firstLine="560" w:firstLineChars="200"/>
        <w:rPr>
          <w:rFonts w:hint="eastAsia" w:ascii="仿宋_GB2312" w:hAnsi="仿宋_GB2312" w:eastAsia="仿宋_GB2312" w:cs="仿宋_GB2312"/>
          <w:color w:val="auto"/>
          <w:sz w:val="28"/>
          <w:szCs w:val="28"/>
        </w:rPr>
      </w:pPr>
    </w:p>
    <w:p>
      <w:pPr>
        <w:spacing w:line="560" w:lineRule="exact"/>
        <w:ind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法定代表人（签字）：_________　　法定代表人（签字）：</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委托代理人（签字）：             委托代理人（签字）：</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_______年____月____日　　 　______年____月____日</w:t>
      </w:r>
    </w:p>
    <w:p>
      <w:pPr>
        <w:spacing w:line="560" w:lineRule="exact"/>
        <w:rPr>
          <w:rFonts w:hint="eastAsia" w:ascii="仿宋_GB2312" w:hAnsi="仿宋_GB2312" w:eastAsia="仿宋_GB2312" w:cs="仿宋_GB2312"/>
          <w:b/>
          <w:bCs/>
          <w:color w:val="auto"/>
          <w:sz w:val="28"/>
        </w:rPr>
      </w:pPr>
      <w:r>
        <w:rPr>
          <w:rFonts w:hint="eastAsia" w:ascii="仿宋_GB2312" w:hAnsi="仿宋_GB2312" w:eastAsia="仿宋_GB2312" w:cs="仿宋_GB2312"/>
          <w:color w:val="auto"/>
          <w:sz w:val="28"/>
          <w:szCs w:val="28"/>
        </w:rPr>
        <w:t xml:space="preserve">  签订地点：_________　　　　　　 签订地点：_________</w:t>
      </w:r>
    </w:p>
    <w:p>
      <w:pPr>
        <w:rPr>
          <w:rFonts w:hint="eastAsia" w:ascii="仿宋" w:hAnsi="仿宋" w:eastAsia="仿宋" w:cs="仿宋"/>
          <w:color w:val="auto"/>
          <w:sz w:val="28"/>
          <w:szCs w:val="28"/>
        </w:rPr>
      </w:pPr>
    </w:p>
    <w:sectPr>
      <w:pgSz w:w="11907" w:h="16840"/>
      <w:pgMar w:top="1440" w:right="1588" w:bottom="1440"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PingFang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color w:val="auto"/>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7XTPQAAAAAwEAAA8AAAAAAAAAAQAgAAAAIgAAAGRycy9k&#10;b3ducmV2LnhtbFBLAQIUABQAAAAIAIdO4kAegh5JCgIAAAMEAAAOAAAAAAAAAAEAIAAAAB8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mc:Fallback>
      </mc:AlternateContent>
    </w:r>
    <w:r>
      <w:rPr>
        <w:rFonts w:hint="eastAsia"/>
      </w:rPr>
      <w:t>---------------------------------------------------------              ---------------------</w:t>
    </w:r>
    <w:r>
      <w:rPr>
        <w:rFonts w:hint="eastAsia"/>
        <w:color w:val="auto"/>
      </w:rPr>
      <w:t xml:space="preserve">-------------------------------------                 </w:t>
    </w:r>
  </w:p>
  <w:p>
    <w:pPr>
      <w:pStyle w:val="17"/>
      <w:jc w:val="left"/>
      <w:rPr>
        <w:rFonts w:hint="default"/>
        <w:color w:val="auto"/>
        <w:lang w:val="en-US" w:eastAsia="zh-CN"/>
      </w:rPr>
    </w:pPr>
    <w:r>
      <w:rPr>
        <w:rFonts w:hint="eastAsia"/>
        <w:color w:val="auto"/>
      </w:rPr>
      <w:t>采购代理机构：焦作市公共资源项目服务有限责任公司         项目编号：焦公资采购F2022－161号</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spacing w:line="160" w:lineRule="atLeast"/>
      <w:jc w:val="both"/>
      <w:rPr>
        <w:rFonts w:ascii="楷体_GB2312" w:eastAsia="楷体_GB2312"/>
        <w:sz w:val="28"/>
        <w:u w:val="single"/>
      </w:rPr>
    </w:pPr>
    <w:r>
      <w:rPr>
        <w:rFonts w:hint="eastAsia" w:ascii="楷体_GB2312" w:eastAsia="楷体_GB2312"/>
        <w:sz w:val="2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FE363"/>
    <w:multiLevelType w:val="singleLevel"/>
    <w:tmpl w:val="876FE363"/>
    <w:lvl w:ilvl="0" w:tentative="0">
      <w:start w:val="1"/>
      <w:numFmt w:val="decimal"/>
      <w:suff w:val="nothing"/>
      <w:lvlText w:val="%1）"/>
      <w:lvlJc w:val="left"/>
    </w:lvl>
  </w:abstractNum>
  <w:abstractNum w:abstractNumId="1">
    <w:nsid w:val="921B5789"/>
    <w:multiLevelType w:val="singleLevel"/>
    <w:tmpl w:val="921B5789"/>
    <w:lvl w:ilvl="0" w:tentative="0">
      <w:start w:val="1"/>
      <w:numFmt w:val="decimal"/>
      <w:suff w:val="nothing"/>
      <w:lvlText w:val="（%1）"/>
      <w:lvlJc w:val="left"/>
    </w:lvl>
  </w:abstractNum>
  <w:abstractNum w:abstractNumId="2">
    <w:nsid w:val="B30EA256"/>
    <w:multiLevelType w:val="singleLevel"/>
    <w:tmpl w:val="B30EA256"/>
    <w:lvl w:ilvl="0" w:tentative="0">
      <w:start w:val="1"/>
      <w:numFmt w:val="chineseCounting"/>
      <w:suff w:val="space"/>
      <w:lvlText w:val="第%1章"/>
      <w:lvlJc w:val="left"/>
      <w:rPr>
        <w:rFonts w:hint="eastAsia"/>
      </w:rPr>
    </w:lvl>
  </w:abstractNum>
  <w:abstractNum w:abstractNumId="3">
    <w:nsid w:val="1E590226"/>
    <w:multiLevelType w:val="multilevel"/>
    <w:tmpl w:val="1E590226"/>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ABB2191"/>
    <w:multiLevelType w:val="multilevel"/>
    <w:tmpl w:val="4ABB2191"/>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pStyle w:val="73"/>
      <w:lvlText w:val="%1.%2.%3.%4.%5"/>
      <w:lvlJc w:val="left"/>
      <w:pPr>
        <w:ind w:left="0" w:firstLine="0"/>
      </w:pPr>
      <w:rPr>
        <w:rFonts w:hint="eastAsia"/>
      </w:rPr>
    </w:lvl>
    <w:lvl w:ilvl="5" w:tentative="0">
      <w:start w:val="1"/>
      <w:numFmt w:val="decimal"/>
      <w:lvlText w:val="%1.%2.%3.%4.%5.%6"/>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5A000D7F"/>
    <w:multiLevelType w:val="singleLevel"/>
    <w:tmpl w:val="5A000D7F"/>
    <w:lvl w:ilvl="0" w:tentative="0">
      <w:start w:val="1"/>
      <w:numFmt w:val="chineseCounting"/>
      <w:suff w:val="space"/>
      <w:lvlText w:val="第%1条"/>
      <w:lvlJc w:val="left"/>
    </w:lvl>
  </w:abstractNum>
  <w:abstractNum w:abstractNumId="6">
    <w:nsid w:val="79E1057C"/>
    <w:multiLevelType w:val="multilevel"/>
    <w:tmpl w:val="79E1057C"/>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0NzkwZGJiMTc5NTUxY2ZlMGIwYWE3MTIxZDJhZDYifQ=="/>
  </w:docVars>
  <w:rsids>
    <w:rsidRoot w:val="00172A27"/>
    <w:rsid w:val="000024BA"/>
    <w:rsid w:val="000102F5"/>
    <w:rsid w:val="00012B4F"/>
    <w:rsid w:val="000171FD"/>
    <w:rsid w:val="00042164"/>
    <w:rsid w:val="00046DDF"/>
    <w:rsid w:val="00052589"/>
    <w:rsid w:val="0005574D"/>
    <w:rsid w:val="000566BD"/>
    <w:rsid w:val="000741D7"/>
    <w:rsid w:val="00076CFB"/>
    <w:rsid w:val="00076EC7"/>
    <w:rsid w:val="000777DD"/>
    <w:rsid w:val="0008125F"/>
    <w:rsid w:val="000964D8"/>
    <w:rsid w:val="000A1FA0"/>
    <w:rsid w:val="000A30EB"/>
    <w:rsid w:val="000A626C"/>
    <w:rsid w:val="000B62D4"/>
    <w:rsid w:val="000C1365"/>
    <w:rsid w:val="000C5DBA"/>
    <w:rsid w:val="000D3229"/>
    <w:rsid w:val="000E537D"/>
    <w:rsid w:val="000F1AA7"/>
    <w:rsid w:val="000F69A4"/>
    <w:rsid w:val="00103D0E"/>
    <w:rsid w:val="001061B1"/>
    <w:rsid w:val="00106DF6"/>
    <w:rsid w:val="001106CD"/>
    <w:rsid w:val="001173D9"/>
    <w:rsid w:val="001176AA"/>
    <w:rsid w:val="00120F88"/>
    <w:rsid w:val="00123920"/>
    <w:rsid w:val="00131B78"/>
    <w:rsid w:val="00137259"/>
    <w:rsid w:val="001379ED"/>
    <w:rsid w:val="00152208"/>
    <w:rsid w:val="001535C4"/>
    <w:rsid w:val="0016044F"/>
    <w:rsid w:val="00162637"/>
    <w:rsid w:val="00163DA7"/>
    <w:rsid w:val="00172A27"/>
    <w:rsid w:val="001749D2"/>
    <w:rsid w:val="00177906"/>
    <w:rsid w:val="001801C4"/>
    <w:rsid w:val="00181DF9"/>
    <w:rsid w:val="00182574"/>
    <w:rsid w:val="00193B56"/>
    <w:rsid w:val="001A6050"/>
    <w:rsid w:val="001B1F36"/>
    <w:rsid w:val="001B734B"/>
    <w:rsid w:val="001C536E"/>
    <w:rsid w:val="001C6811"/>
    <w:rsid w:val="001D0202"/>
    <w:rsid w:val="001D407A"/>
    <w:rsid w:val="001D6760"/>
    <w:rsid w:val="001D7E76"/>
    <w:rsid w:val="001E002F"/>
    <w:rsid w:val="001E3654"/>
    <w:rsid w:val="001E54A4"/>
    <w:rsid w:val="001E6253"/>
    <w:rsid w:val="001E78FD"/>
    <w:rsid w:val="002010C7"/>
    <w:rsid w:val="0020232B"/>
    <w:rsid w:val="002116CA"/>
    <w:rsid w:val="00213F61"/>
    <w:rsid w:val="00222C51"/>
    <w:rsid w:val="00231E38"/>
    <w:rsid w:val="0023730C"/>
    <w:rsid w:val="00254029"/>
    <w:rsid w:val="00262641"/>
    <w:rsid w:val="002663DE"/>
    <w:rsid w:val="002672AE"/>
    <w:rsid w:val="00272E0F"/>
    <w:rsid w:val="002746F2"/>
    <w:rsid w:val="00277A30"/>
    <w:rsid w:val="002830CB"/>
    <w:rsid w:val="002859A4"/>
    <w:rsid w:val="00286728"/>
    <w:rsid w:val="00294FE0"/>
    <w:rsid w:val="00295E7F"/>
    <w:rsid w:val="002A099F"/>
    <w:rsid w:val="002A0D5C"/>
    <w:rsid w:val="002A1423"/>
    <w:rsid w:val="002A5494"/>
    <w:rsid w:val="002A54C6"/>
    <w:rsid w:val="002A6C88"/>
    <w:rsid w:val="002B4AE3"/>
    <w:rsid w:val="002E22BD"/>
    <w:rsid w:val="002E2796"/>
    <w:rsid w:val="002E4EB6"/>
    <w:rsid w:val="002E5960"/>
    <w:rsid w:val="002E5B69"/>
    <w:rsid w:val="002E77A9"/>
    <w:rsid w:val="002F2593"/>
    <w:rsid w:val="002F7D58"/>
    <w:rsid w:val="00302EAD"/>
    <w:rsid w:val="00306A88"/>
    <w:rsid w:val="003073BE"/>
    <w:rsid w:val="003110B4"/>
    <w:rsid w:val="003115EF"/>
    <w:rsid w:val="00316C7D"/>
    <w:rsid w:val="00316F81"/>
    <w:rsid w:val="00340FCE"/>
    <w:rsid w:val="00364C7B"/>
    <w:rsid w:val="00366DC1"/>
    <w:rsid w:val="003674CE"/>
    <w:rsid w:val="00382A75"/>
    <w:rsid w:val="003848AB"/>
    <w:rsid w:val="00385778"/>
    <w:rsid w:val="00392D10"/>
    <w:rsid w:val="003A5E8F"/>
    <w:rsid w:val="003B0F03"/>
    <w:rsid w:val="003B259F"/>
    <w:rsid w:val="003B7DED"/>
    <w:rsid w:val="003C07BE"/>
    <w:rsid w:val="003C2EBF"/>
    <w:rsid w:val="003C5DC5"/>
    <w:rsid w:val="003F075D"/>
    <w:rsid w:val="00406943"/>
    <w:rsid w:val="00410DCD"/>
    <w:rsid w:val="00415498"/>
    <w:rsid w:val="0041783B"/>
    <w:rsid w:val="004222ED"/>
    <w:rsid w:val="004264EC"/>
    <w:rsid w:val="00426C0A"/>
    <w:rsid w:val="00431979"/>
    <w:rsid w:val="00436EA2"/>
    <w:rsid w:val="00437448"/>
    <w:rsid w:val="004844B2"/>
    <w:rsid w:val="004878E3"/>
    <w:rsid w:val="00490B48"/>
    <w:rsid w:val="004A2231"/>
    <w:rsid w:val="004B1CC1"/>
    <w:rsid w:val="004D5956"/>
    <w:rsid w:val="004E30F4"/>
    <w:rsid w:val="004E4623"/>
    <w:rsid w:val="004E6DC9"/>
    <w:rsid w:val="004F6785"/>
    <w:rsid w:val="004F7C53"/>
    <w:rsid w:val="00500B0F"/>
    <w:rsid w:val="00505791"/>
    <w:rsid w:val="00510C6C"/>
    <w:rsid w:val="00511C0E"/>
    <w:rsid w:val="00514490"/>
    <w:rsid w:val="00520B69"/>
    <w:rsid w:val="0052360B"/>
    <w:rsid w:val="00525E1E"/>
    <w:rsid w:val="00546D6B"/>
    <w:rsid w:val="00551A11"/>
    <w:rsid w:val="00555692"/>
    <w:rsid w:val="00555965"/>
    <w:rsid w:val="00562CFC"/>
    <w:rsid w:val="00563846"/>
    <w:rsid w:val="005641F4"/>
    <w:rsid w:val="00567157"/>
    <w:rsid w:val="00567C21"/>
    <w:rsid w:val="0057106D"/>
    <w:rsid w:val="0057296E"/>
    <w:rsid w:val="00577C77"/>
    <w:rsid w:val="005818F4"/>
    <w:rsid w:val="00585445"/>
    <w:rsid w:val="00586835"/>
    <w:rsid w:val="0059004F"/>
    <w:rsid w:val="005935C7"/>
    <w:rsid w:val="0059508E"/>
    <w:rsid w:val="00596F9A"/>
    <w:rsid w:val="005A7A4D"/>
    <w:rsid w:val="005B03D3"/>
    <w:rsid w:val="005D1EA6"/>
    <w:rsid w:val="005D32B1"/>
    <w:rsid w:val="005E21F8"/>
    <w:rsid w:val="005E36D8"/>
    <w:rsid w:val="005F596A"/>
    <w:rsid w:val="005F5FC2"/>
    <w:rsid w:val="005F79BB"/>
    <w:rsid w:val="005F79DD"/>
    <w:rsid w:val="00602130"/>
    <w:rsid w:val="00602BFB"/>
    <w:rsid w:val="00611C4E"/>
    <w:rsid w:val="00614B3F"/>
    <w:rsid w:val="006272AF"/>
    <w:rsid w:val="00640769"/>
    <w:rsid w:val="00646948"/>
    <w:rsid w:val="0065522C"/>
    <w:rsid w:val="006666C4"/>
    <w:rsid w:val="00670F77"/>
    <w:rsid w:val="00674DAA"/>
    <w:rsid w:val="00674EDE"/>
    <w:rsid w:val="00692F9A"/>
    <w:rsid w:val="0069622D"/>
    <w:rsid w:val="006A236A"/>
    <w:rsid w:val="006A38B7"/>
    <w:rsid w:val="006B10B0"/>
    <w:rsid w:val="006B14B6"/>
    <w:rsid w:val="006B7599"/>
    <w:rsid w:val="006D5994"/>
    <w:rsid w:val="006E0059"/>
    <w:rsid w:val="006E2C06"/>
    <w:rsid w:val="006E309D"/>
    <w:rsid w:val="006E3FB6"/>
    <w:rsid w:val="006E4E60"/>
    <w:rsid w:val="006E525C"/>
    <w:rsid w:val="007001F4"/>
    <w:rsid w:val="0070232E"/>
    <w:rsid w:val="007105F5"/>
    <w:rsid w:val="0072147F"/>
    <w:rsid w:val="00721752"/>
    <w:rsid w:val="007218B8"/>
    <w:rsid w:val="007227AD"/>
    <w:rsid w:val="007307ED"/>
    <w:rsid w:val="00733FBE"/>
    <w:rsid w:val="007449BF"/>
    <w:rsid w:val="00745DCF"/>
    <w:rsid w:val="007478F7"/>
    <w:rsid w:val="00747BFD"/>
    <w:rsid w:val="007544C8"/>
    <w:rsid w:val="0076184B"/>
    <w:rsid w:val="00765003"/>
    <w:rsid w:val="007668D9"/>
    <w:rsid w:val="007668ED"/>
    <w:rsid w:val="00767801"/>
    <w:rsid w:val="00784017"/>
    <w:rsid w:val="00787860"/>
    <w:rsid w:val="00790B45"/>
    <w:rsid w:val="00791D0D"/>
    <w:rsid w:val="007958BB"/>
    <w:rsid w:val="007A29ED"/>
    <w:rsid w:val="007A45AE"/>
    <w:rsid w:val="007A560A"/>
    <w:rsid w:val="007A5C13"/>
    <w:rsid w:val="007B5674"/>
    <w:rsid w:val="007C79C4"/>
    <w:rsid w:val="007D0F97"/>
    <w:rsid w:val="007D284C"/>
    <w:rsid w:val="007D47B8"/>
    <w:rsid w:val="007D5400"/>
    <w:rsid w:val="007E10FB"/>
    <w:rsid w:val="007E5AD3"/>
    <w:rsid w:val="007E7CDB"/>
    <w:rsid w:val="007F2953"/>
    <w:rsid w:val="007F36B7"/>
    <w:rsid w:val="00801F6B"/>
    <w:rsid w:val="00812B45"/>
    <w:rsid w:val="00822182"/>
    <w:rsid w:val="008260CF"/>
    <w:rsid w:val="00827991"/>
    <w:rsid w:val="00840376"/>
    <w:rsid w:val="00842D90"/>
    <w:rsid w:val="0084598E"/>
    <w:rsid w:val="00853D6B"/>
    <w:rsid w:val="008546EB"/>
    <w:rsid w:val="0085789E"/>
    <w:rsid w:val="00860915"/>
    <w:rsid w:val="00863339"/>
    <w:rsid w:val="00866C8F"/>
    <w:rsid w:val="00875708"/>
    <w:rsid w:val="00881CC9"/>
    <w:rsid w:val="0088465D"/>
    <w:rsid w:val="00887F09"/>
    <w:rsid w:val="008B002D"/>
    <w:rsid w:val="008B1D05"/>
    <w:rsid w:val="008B1FA2"/>
    <w:rsid w:val="008B247D"/>
    <w:rsid w:val="008B6054"/>
    <w:rsid w:val="008B6210"/>
    <w:rsid w:val="008C00DD"/>
    <w:rsid w:val="008C0D68"/>
    <w:rsid w:val="008C14DA"/>
    <w:rsid w:val="008C3174"/>
    <w:rsid w:val="008D36A1"/>
    <w:rsid w:val="008D7E04"/>
    <w:rsid w:val="008E71C8"/>
    <w:rsid w:val="008F6176"/>
    <w:rsid w:val="0090091F"/>
    <w:rsid w:val="0090191D"/>
    <w:rsid w:val="00911F0C"/>
    <w:rsid w:val="00914C40"/>
    <w:rsid w:val="009244DF"/>
    <w:rsid w:val="009325AE"/>
    <w:rsid w:val="00933565"/>
    <w:rsid w:val="0093471A"/>
    <w:rsid w:val="0093488A"/>
    <w:rsid w:val="009420EF"/>
    <w:rsid w:val="009633EB"/>
    <w:rsid w:val="00966EF3"/>
    <w:rsid w:val="009719FA"/>
    <w:rsid w:val="0097273F"/>
    <w:rsid w:val="00974FFC"/>
    <w:rsid w:val="009871B3"/>
    <w:rsid w:val="00987EDD"/>
    <w:rsid w:val="0099480B"/>
    <w:rsid w:val="009A52C5"/>
    <w:rsid w:val="009A69C1"/>
    <w:rsid w:val="009B34B5"/>
    <w:rsid w:val="009B3FD8"/>
    <w:rsid w:val="009B42F1"/>
    <w:rsid w:val="009B67C1"/>
    <w:rsid w:val="009C7278"/>
    <w:rsid w:val="009D0B27"/>
    <w:rsid w:val="009D224E"/>
    <w:rsid w:val="009D4E99"/>
    <w:rsid w:val="009E1485"/>
    <w:rsid w:val="009E6BF5"/>
    <w:rsid w:val="009E6D7D"/>
    <w:rsid w:val="009F07C3"/>
    <w:rsid w:val="009F3D02"/>
    <w:rsid w:val="009F655E"/>
    <w:rsid w:val="00A14D70"/>
    <w:rsid w:val="00A235ED"/>
    <w:rsid w:val="00A26DA4"/>
    <w:rsid w:val="00A502CC"/>
    <w:rsid w:val="00A51A64"/>
    <w:rsid w:val="00A56EE6"/>
    <w:rsid w:val="00A65483"/>
    <w:rsid w:val="00A65DB8"/>
    <w:rsid w:val="00A66ECC"/>
    <w:rsid w:val="00A70C49"/>
    <w:rsid w:val="00A715B5"/>
    <w:rsid w:val="00A817BC"/>
    <w:rsid w:val="00A82B48"/>
    <w:rsid w:val="00A837F9"/>
    <w:rsid w:val="00A870E4"/>
    <w:rsid w:val="00A87F62"/>
    <w:rsid w:val="00A96380"/>
    <w:rsid w:val="00AA2698"/>
    <w:rsid w:val="00AA3FE6"/>
    <w:rsid w:val="00AA79BF"/>
    <w:rsid w:val="00AB1404"/>
    <w:rsid w:val="00AB7A5A"/>
    <w:rsid w:val="00AD1B71"/>
    <w:rsid w:val="00AD602F"/>
    <w:rsid w:val="00AF7C3F"/>
    <w:rsid w:val="00B00F33"/>
    <w:rsid w:val="00B024DD"/>
    <w:rsid w:val="00B03BF0"/>
    <w:rsid w:val="00B26BB1"/>
    <w:rsid w:val="00B32A1F"/>
    <w:rsid w:val="00B375E6"/>
    <w:rsid w:val="00B41616"/>
    <w:rsid w:val="00B46733"/>
    <w:rsid w:val="00B47818"/>
    <w:rsid w:val="00B53BEC"/>
    <w:rsid w:val="00B549C2"/>
    <w:rsid w:val="00B63690"/>
    <w:rsid w:val="00B6564C"/>
    <w:rsid w:val="00B659A2"/>
    <w:rsid w:val="00B7563E"/>
    <w:rsid w:val="00B76930"/>
    <w:rsid w:val="00B829A2"/>
    <w:rsid w:val="00B840E3"/>
    <w:rsid w:val="00B85444"/>
    <w:rsid w:val="00B855CB"/>
    <w:rsid w:val="00B87678"/>
    <w:rsid w:val="00B93748"/>
    <w:rsid w:val="00BA1921"/>
    <w:rsid w:val="00BA3107"/>
    <w:rsid w:val="00BA5C1B"/>
    <w:rsid w:val="00BB47AC"/>
    <w:rsid w:val="00BD7358"/>
    <w:rsid w:val="00BD7876"/>
    <w:rsid w:val="00BE0080"/>
    <w:rsid w:val="00BE774B"/>
    <w:rsid w:val="00BF38DC"/>
    <w:rsid w:val="00C00B44"/>
    <w:rsid w:val="00C03A93"/>
    <w:rsid w:val="00C05EC3"/>
    <w:rsid w:val="00C10876"/>
    <w:rsid w:val="00C12128"/>
    <w:rsid w:val="00C1551E"/>
    <w:rsid w:val="00C2192A"/>
    <w:rsid w:val="00C22652"/>
    <w:rsid w:val="00C33268"/>
    <w:rsid w:val="00C53087"/>
    <w:rsid w:val="00C552F2"/>
    <w:rsid w:val="00C57007"/>
    <w:rsid w:val="00C614A6"/>
    <w:rsid w:val="00C77C61"/>
    <w:rsid w:val="00C8052C"/>
    <w:rsid w:val="00C80B0A"/>
    <w:rsid w:val="00C837A8"/>
    <w:rsid w:val="00C84FB8"/>
    <w:rsid w:val="00C85791"/>
    <w:rsid w:val="00C96BFC"/>
    <w:rsid w:val="00C97219"/>
    <w:rsid w:val="00CA2FC7"/>
    <w:rsid w:val="00CA65CE"/>
    <w:rsid w:val="00CC1191"/>
    <w:rsid w:val="00CD1ADB"/>
    <w:rsid w:val="00CD3DC1"/>
    <w:rsid w:val="00CD7183"/>
    <w:rsid w:val="00CD7E04"/>
    <w:rsid w:val="00CE12BD"/>
    <w:rsid w:val="00CE2FEA"/>
    <w:rsid w:val="00CF0B24"/>
    <w:rsid w:val="00D05739"/>
    <w:rsid w:val="00D0632D"/>
    <w:rsid w:val="00D12BBA"/>
    <w:rsid w:val="00D134EF"/>
    <w:rsid w:val="00D216BB"/>
    <w:rsid w:val="00D36506"/>
    <w:rsid w:val="00D37FC3"/>
    <w:rsid w:val="00D4095E"/>
    <w:rsid w:val="00D447E6"/>
    <w:rsid w:val="00D45E06"/>
    <w:rsid w:val="00D61292"/>
    <w:rsid w:val="00D61505"/>
    <w:rsid w:val="00D63DF1"/>
    <w:rsid w:val="00D64124"/>
    <w:rsid w:val="00D654F8"/>
    <w:rsid w:val="00D65A03"/>
    <w:rsid w:val="00D74B3D"/>
    <w:rsid w:val="00D763C5"/>
    <w:rsid w:val="00DB246D"/>
    <w:rsid w:val="00DE1F6A"/>
    <w:rsid w:val="00DE2654"/>
    <w:rsid w:val="00DE3064"/>
    <w:rsid w:val="00DE483B"/>
    <w:rsid w:val="00DF25F0"/>
    <w:rsid w:val="00DF6B0A"/>
    <w:rsid w:val="00E01D70"/>
    <w:rsid w:val="00E0251A"/>
    <w:rsid w:val="00E06518"/>
    <w:rsid w:val="00E10E97"/>
    <w:rsid w:val="00E12757"/>
    <w:rsid w:val="00E20537"/>
    <w:rsid w:val="00E23E3B"/>
    <w:rsid w:val="00E27134"/>
    <w:rsid w:val="00E316B3"/>
    <w:rsid w:val="00E37DA3"/>
    <w:rsid w:val="00E40BA2"/>
    <w:rsid w:val="00E4610B"/>
    <w:rsid w:val="00E46AE3"/>
    <w:rsid w:val="00E50C50"/>
    <w:rsid w:val="00E54F24"/>
    <w:rsid w:val="00E56628"/>
    <w:rsid w:val="00E70A5D"/>
    <w:rsid w:val="00E734AE"/>
    <w:rsid w:val="00E73E41"/>
    <w:rsid w:val="00EA1F1A"/>
    <w:rsid w:val="00EB45C9"/>
    <w:rsid w:val="00EB5E12"/>
    <w:rsid w:val="00EC387D"/>
    <w:rsid w:val="00EC5C1C"/>
    <w:rsid w:val="00EC5E42"/>
    <w:rsid w:val="00ED3203"/>
    <w:rsid w:val="00ED7876"/>
    <w:rsid w:val="00EE6DE2"/>
    <w:rsid w:val="00EF2450"/>
    <w:rsid w:val="00EF2C70"/>
    <w:rsid w:val="00EF5330"/>
    <w:rsid w:val="00EF57A0"/>
    <w:rsid w:val="00F06ECD"/>
    <w:rsid w:val="00F12101"/>
    <w:rsid w:val="00F1244B"/>
    <w:rsid w:val="00F15455"/>
    <w:rsid w:val="00F15B75"/>
    <w:rsid w:val="00F16EDA"/>
    <w:rsid w:val="00F24138"/>
    <w:rsid w:val="00F246E9"/>
    <w:rsid w:val="00F3684F"/>
    <w:rsid w:val="00F4786C"/>
    <w:rsid w:val="00F52654"/>
    <w:rsid w:val="00F5367E"/>
    <w:rsid w:val="00F5413E"/>
    <w:rsid w:val="00F574C0"/>
    <w:rsid w:val="00F579DE"/>
    <w:rsid w:val="00F64A86"/>
    <w:rsid w:val="00F80D60"/>
    <w:rsid w:val="00FC184D"/>
    <w:rsid w:val="00FC5B0B"/>
    <w:rsid w:val="00FC73D8"/>
    <w:rsid w:val="00FD10BE"/>
    <w:rsid w:val="00FD772D"/>
    <w:rsid w:val="00FE0F54"/>
    <w:rsid w:val="012C3ED1"/>
    <w:rsid w:val="0138013E"/>
    <w:rsid w:val="01973B44"/>
    <w:rsid w:val="01BD74E3"/>
    <w:rsid w:val="01D36627"/>
    <w:rsid w:val="01E14C1D"/>
    <w:rsid w:val="01E17221"/>
    <w:rsid w:val="01F02178"/>
    <w:rsid w:val="01F17CC6"/>
    <w:rsid w:val="01FD1152"/>
    <w:rsid w:val="022C2B2F"/>
    <w:rsid w:val="023319DB"/>
    <w:rsid w:val="023B1A8A"/>
    <w:rsid w:val="0265323B"/>
    <w:rsid w:val="026C53EE"/>
    <w:rsid w:val="02805A63"/>
    <w:rsid w:val="0288005D"/>
    <w:rsid w:val="02A917F4"/>
    <w:rsid w:val="02A9706C"/>
    <w:rsid w:val="02AE07AC"/>
    <w:rsid w:val="02E30BFA"/>
    <w:rsid w:val="030F7CF7"/>
    <w:rsid w:val="03486EE3"/>
    <w:rsid w:val="03493970"/>
    <w:rsid w:val="034F0620"/>
    <w:rsid w:val="035B6858"/>
    <w:rsid w:val="036B4BAC"/>
    <w:rsid w:val="038F3096"/>
    <w:rsid w:val="039021BC"/>
    <w:rsid w:val="03911AD0"/>
    <w:rsid w:val="03A03C18"/>
    <w:rsid w:val="04003EAF"/>
    <w:rsid w:val="041109E9"/>
    <w:rsid w:val="04214867"/>
    <w:rsid w:val="04235665"/>
    <w:rsid w:val="042B5B64"/>
    <w:rsid w:val="043C4A8E"/>
    <w:rsid w:val="04486878"/>
    <w:rsid w:val="045D0691"/>
    <w:rsid w:val="04692EFB"/>
    <w:rsid w:val="046C72D6"/>
    <w:rsid w:val="047C77D7"/>
    <w:rsid w:val="047E181F"/>
    <w:rsid w:val="0492193B"/>
    <w:rsid w:val="049720EE"/>
    <w:rsid w:val="049A5645"/>
    <w:rsid w:val="04A50989"/>
    <w:rsid w:val="04B270C1"/>
    <w:rsid w:val="04BB214E"/>
    <w:rsid w:val="04F66975"/>
    <w:rsid w:val="05161B90"/>
    <w:rsid w:val="051731FB"/>
    <w:rsid w:val="051A4BDF"/>
    <w:rsid w:val="054F6C10"/>
    <w:rsid w:val="05502988"/>
    <w:rsid w:val="05584FA3"/>
    <w:rsid w:val="056A3A64"/>
    <w:rsid w:val="05855B5F"/>
    <w:rsid w:val="059876A7"/>
    <w:rsid w:val="059A6A21"/>
    <w:rsid w:val="05B57FC9"/>
    <w:rsid w:val="05C3724D"/>
    <w:rsid w:val="05D65C65"/>
    <w:rsid w:val="05E47D49"/>
    <w:rsid w:val="06033645"/>
    <w:rsid w:val="0619015D"/>
    <w:rsid w:val="06252DA8"/>
    <w:rsid w:val="0631025D"/>
    <w:rsid w:val="064979AA"/>
    <w:rsid w:val="067B4AAC"/>
    <w:rsid w:val="06976637"/>
    <w:rsid w:val="06A74F56"/>
    <w:rsid w:val="06A91F49"/>
    <w:rsid w:val="06AC5F82"/>
    <w:rsid w:val="06B163BE"/>
    <w:rsid w:val="06CE09A1"/>
    <w:rsid w:val="06F110F0"/>
    <w:rsid w:val="06F708AD"/>
    <w:rsid w:val="06FD4A88"/>
    <w:rsid w:val="06FE0EC1"/>
    <w:rsid w:val="06FE6E02"/>
    <w:rsid w:val="07014D5F"/>
    <w:rsid w:val="07292D0F"/>
    <w:rsid w:val="07375BAD"/>
    <w:rsid w:val="07435CCA"/>
    <w:rsid w:val="074429F4"/>
    <w:rsid w:val="078E4A3D"/>
    <w:rsid w:val="07C54009"/>
    <w:rsid w:val="07D23D17"/>
    <w:rsid w:val="07DF75F9"/>
    <w:rsid w:val="07F71604"/>
    <w:rsid w:val="08635998"/>
    <w:rsid w:val="08821300"/>
    <w:rsid w:val="08831937"/>
    <w:rsid w:val="089544E6"/>
    <w:rsid w:val="08A96637"/>
    <w:rsid w:val="08AF1AFD"/>
    <w:rsid w:val="08B6240D"/>
    <w:rsid w:val="08C37A45"/>
    <w:rsid w:val="09220D1D"/>
    <w:rsid w:val="09292E3F"/>
    <w:rsid w:val="0929680A"/>
    <w:rsid w:val="092C1D1B"/>
    <w:rsid w:val="093830AD"/>
    <w:rsid w:val="09483348"/>
    <w:rsid w:val="094A20CE"/>
    <w:rsid w:val="096C6A5C"/>
    <w:rsid w:val="0978557D"/>
    <w:rsid w:val="097A1391"/>
    <w:rsid w:val="097A4D8F"/>
    <w:rsid w:val="098067AA"/>
    <w:rsid w:val="0986405F"/>
    <w:rsid w:val="098E29C3"/>
    <w:rsid w:val="09950ADB"/>
    <w:rsid w:val="099608C1"/>
    <w:rsid w:val="099C043C"/>
    <w:rsid w:val="099F0C2E"/>
    <w:rsid w:val="09A52966"/>
    <w:rsid w:val="09C06DDC"/>
    <w:rsid w:val="09D45B25"/>
    <w:rsid w:val="09D52DA6"/>
    <w:rsid w:val="0A03689D"/>
    <w:rsid w:val="0A095B11"/>
    <w:rsid w:val="0A2505AB"/>
    <w:rsid w:val="0A2A333D"/>
    <w:rsid w:val="0A2A4AE0"/>
    <w:rsid w:val="0A3C76BF"/>
    <w:rsid w:val="0A4C3C8E"/>
    <w:rsid w:val="0A6328A3"/>
    <w:rsid w:val="0A6D3138"/>
    <w:rsid w:val="0A81502A"/>
    <w:rsid w:val="0A8C2A76"/>
    <w:rsid w:val="0A991B2C"/>
    <w:rsid w:val="0A9A7E64"/>
    <w:rsid w:val="0AB37FF1"/>
    <w:rsid w:val="0ABA569C"/>
    <w:rsid w:val="0AD57CC0"/>
    <w:rsid w:val="0ADF0E11"/>
    <w:rsid w:val="0AE50A34"/>
    <w:rsid w:val="0AF23A37"/>
    <w:rsid w:val="0B3643CE"/>
    <w:rsid w:val="0B636AF1"/>
    <w:rsid w:val="0BD14F70"/>
    <w:rsid w:val="0BD75C0A"/>
    <w:rsid w:val="0C0F647D"/>
    <w:rsid w:val="0C1A12BC"/>
    <w:rsid w:val="0C1A698A"/>
    <w:rsid w:val="0C3B7057"/>
    <w:rsid w:val="0C412B23"/>
    <w:rsid w:val="0C4F3362"/>
    <w:rsid w:val="0C557905"/>
    <w:rsid w:val="0C5C39C0"/>
    <w:rsid w:val="0C6A791D"/>
    <w:rsid w:val="0C742638"/>
    <w:rsid w:val="0C7B448B"/>
    <w:rsid w:val="0C8A65F1"/>
    <w:rsid w:val="0CBB5654"/>
    <w:rsid w:val="0CC801F9"/>
    <w:rsid w:val="0CE353E7"/>
    <w:rsid w:val="0CE97F97"/>
    <w:rsid w:val="0D177DFD"/>
    <w:rsid w:val="0D2627B0"/>
    <w:rsid w:val="0D4F07C9"/>
    <w:rsid w:val="0D4F4FEC"/>
    <w:rsid w:val="0D4F7BA4"/>
    <w:rsid w:val="0D510CFF"/>
    <w:rsid w:val="0D6E3A97"/>
    <w:rsid w:val="0D6E6881"/>
    <w:rsid w:val="0D9D550F"/>
    <w:rsid w:val="0DA21354"/>
    <w:rsid w:val="0DA87BC5"/>
    <w:rsid w:val="0DCA65B1"/>
    <w:rsid w:val="0DE01021"/>
    <w:rsid w:val="0DFB6B7F"/>
    <w:rsid w:val="0DFD2FF3"/>
    <w:rsid w:val="0E0D1BD4"/>
    <w:rsid w:val="0E135C13"/>
    <w:rsid w:val="0E1E0AF7"/>
    <w:rsid w:val="0E203ED5"/>
    <w:rsid w:val="0E4E17E1"/>
    <w:rsid w:val="0E5A149C"/>
    <w:rsid w:val="0E63364C"/>
    <w:rsid w:val="0E6442E9"/>
    <w:rsid w:val="0E775D2E"/>
    <w:rsid w:val="0E7E7007"/>
    <w:rsid w:val="0E831A77"/>
    <w:rsid w:val="0E920377"/>
    <w:rsid w:val="0E937FF7"/>
    <w:rsid w:val="0EA47DF3"/>
    <w:rsid w:val="0EA755E6"/>
    <w:rsid w:val="0ED80A84"/>
    <w:rsid w:val="0EE144D6"/>
    <w:rsid w:val="0EEB40D4"/>
    <w:rsid w:val="0EFA2DB7"/>
    <w:rsid w:val="0EFC4A1E"/>
    <w:rsid w:val="0F0A5D32"/>
    <w:rsid w:val="0F400DB1"/>
    <w:rsid w:val="0F4A5AA8"/>
    <w:rsid w:val="0F5613B9"/>
    <w:rsid w:val="0F626E40"/>
    <w:rsid w:val="0F753DEB"/>
    <w:rsid w:val="0F877D2A"/>
    <w:rsid w:val="0F8F3C53"/>
    <w:rsid w:val="0F9253C1"/>
    <w:rsid w:val="0FB70159"/>
    <w:rsid w:val="0FE71799"/>
    <w:rsid w:val="0FFB70EB"/>
    <w:rsid w:val="1015249E"/>
    <w:rsid w:val="105F0B42"/>
    <w:rsid w:val="106569C5"/>
    <w:rsid w:val="106D25A5"/>
    <w:rsid w:val="10872DC2"/>
    <w:rsid w:val="10B348FD"/>
    <w:rsid w:val="10BD412B"/>
    <w:rsid w:val="10DE545F"/>
    <w:rsid w:val="10E85497"/>
    <w:rsid w:val="10F514C0"/>
    <w:rsid w:val="113E6820"/>
    <w:rsid w:val="11457DAF"/>
    <w:rsid w:val="11466B72"/>
    <w:rsid w:val="114F2D98"/>
    <w:rsid w:val="11697B20"/>
    <w:rsid w:val="116A287D"/>
    <w:rsid w:val="117F06E9"/>
    <w:rsid w:val="11972372"/>
    <w:rsid w:val="11D04B9F"/>
    <w:rsid w:val="11D9122B"/>
    <w:rsid w:val="11EC4876"/>
    <w:rsid w:val="11F84B3C"/>
    <w:rsid w:val="11FF684C"/>
    <w:rsid w:val="12111C4C"/>
    <w:rsid w:val="12205775"/>
    <w:rsid w:val="122841F9"/>
    <w:rsid w:val="122D2087"/>
    <w:rsid w:val="12386EF3"/>
    <w:rsid w:val="1252251E"/>
    <w:rsid w:val="12641F8B"/>
    <w:rsid w:val="126552CA"/>
    <w:rsid w:val="126A152E"/>
    <w:rsid w:val="12994E52"/>
    <w:rsid w:val="129A463C"/>
    <w:rsid w:val="129B3892"/>
    <w:rsid w:val="12A25838"/>
    <w:rsid w:val="12B72988"/>
    <w:rsid w:val="12CF1F56"/>
    <w:rsid w:val="12EA4799"/>
    <w:rsid w:val="12EF1788"/>
    <w:rsid w:val="12F0376A"/>
    <w:rsid w:val="12F631A4"/>
    <w:rsid w:val="12F8472B"/>
    <w:rsid w:val="13267E90"/>
    <w:rsid w:val="133B4AFD"/>
    <w:rsid w:val="13566396"/>
    <w:rsid w:val="136B17B2"/>
    <w:rsid w:val="137A6F18"/>
    <w:rsid w:val="137C5D32"/>
    <w:rsid w:val="1396016D"/>
    <w:rsid w:val="13A97E36"/>
    <w:rsid w:val="13B2626F"/>
    <w:rsid w:val="13CA08B1"/>
    <w:rsid w:val="13F174B2"/>
    <w:rsid w:val="141724F7"/>
    <w:rsid w:val="14311AF7"/>
    <w:rsid w:val="14517C25"/>
    <w:rsid w:val="145C2DE1"/>
    <w:rsid w:val="14654DEB"/>
    <w:rsid w:val="147D71A8"/>
    <w:rsid w:val="14882BA5"/>
    <w:rsid w:val="14A03A72"/>
    <w:rsid w:val="14A1099B"/>
    <w:rsid w:val="14F42BD2"/>
    <w:rsid w:val="150F669C"/>
    <w:rsid w:val="15253646"/>
    <w:rsid w:val="15477060"/>
    <w:rsid w:val="154924E9"/>
    <w:rsid w:val="157E723F"/>
    <w:rsid w:val="158717DE"/>
    <w:rsid w:val="158B7253"/>
    <w:rsid w:val="158D6F6A"/>
    <w:rsid w:val="15905252"/>
    <w:rsid w:val="15D315BA"/>
    <w:rsid w:val="15DE5334"/>
    <w:rsid w:val="15F42192"/>
    <w:rsid w:val="16141AC4"/>
    <w:rsid w:val="16772363"/>
    <w:rsid w:val="168C360A"/>
    <w:rsid w:val="16A13C51"/>
    <w:rsid w:val="16D00FAB"/>
    <w:rsid w:val="170B053F"/>
    <w:rsid w:val="171B0482"/>
    <w:rsid w:val="1738655F"/>
    <w:rsid w:val="173D17DC"/>
    <w:rsid w:val="17607124"/>
    <w:rsid w:val="17811961"/>
    <w:rsid w:val="17A51B58"/>
    <w:rsid w:val="17A83445"/>
    <w:rsid w:val="17B647B2"/>
    <w:rsid w:val="17C207F0"/>
    <w:rsid w:val="17EE4C80"/>
    <w:rsid w:val="180466DA"/>
    <w:rsid w:val="180B4EB8"/>
    <w:rsid w:val="18162EFA"/>
    <w:rsid w:val="183C3C5D"/>
    <w:rsid w:val="1846411F"/>
    <w:rsid w:val="18563EA7"/>
    <w:rsid w:val="186712A2"/>
    <w:rsid w:val="187B3305"/>
    <w:rsid w:val="187C23E1"/>
    <w:rsid w:val="188B2A1A"/>
    <w:rsid w:val="1893408D"/>
    <w:rsid w:val="18B13760"/>
    <w:rsid w:val="18BA5537"/>
    <w:rsid w:val="18BC6ACC"/>
    <w:rsid w:val="18C7014D"/>
    <w:rsid w:val="18C72703"/>
    <w:rsid w:val="18D648C8"/>
    <w:rsid w:val="18D84AE0"/>
    <w:rsid w:val="18FA6F87"/>
    <w:rsid w:val="19066E51"/>
    <w:rsid w:val="19123A9D"/>
    <w:rsid w:val="195556FC"/>
    <w:rsid w:val="19704786"/>
    <w:rsid w:val="19735CEF"/>
    <w:rsid w:val="19965AB5"/>
    <w:rsid w:val="199C6C4B"/>
    <w:rsid w:val="199D2585"/>
    <w:rsid w:val="19B85402"/>
    <w:rsid w:val="19C24DCE"/>
    <w:rsid w:val="19F51390"/>
    <w:rsid w:val="1A231F9C"/>
    <w:rsid w:val="1A2C2FA6"/>
    <w:rsid w:val="1A3640D7"/>
    <w:rsid w:val="1A60785B"/>
    <w:rsid w:val="1A861A78"/>
    <w:rsid w:val="1ABE5C94"/>
    <w:rsid w:val="1ADD26B4"/>
    <w:rsid w:val="1ADE48BE"/>
    <w:rsid w:val="1B094524"/>
    <w:rsid w:val="1B3E6323"/>
    <w:rsid w:val="1B492C0D"/>
    <w:rsid w:val="1BDD2782"/>
    <w:rsid w:val="1BFC3509"/>
    <w:rsid w:val="1C136882"/>
    <w:rsid w:val="1C47498B"/>
    <w:rsid w:val="1C683077"/>
    <w:rsid w:val="1C7F44E3"/>
    <w:rsid w:val="1C92566E"/>
    <w:rsid w:val="1C9A0C60"/>
    <w:rsid w:val="1CB11162"/>
    <w:rsid w:val="1CB24AB9"/>
    <w:rsid w:val="1CB52B97"/>
    <w:rsid w:val="1CBF6AF8"/>
    <w:rsid w:val="1CC52C3A"/>
    <w:rsid w:val="1CD46516"/>
    <w:rsid w:val="1D38755B"/>
    <w:rsid w:val="1D4319BB"/>
    <w:rsid w:val="1D4806BC"/>
    <w:rsid w:val="1D512985"/>
    <w:rsid w:val="1D537743"/>
    <w:rsid w:val="1D593D61"/>
    <w:rsid w:val="1D851546"/>
    <w:rsid w:val="1D9A3BE9"/>
    <w:rsid w:val="1D9F0806"/>
    <w:rsid w:val="1DBB073A"/>
    <w:rsid w:val="1DD52AF7"/>
    <w:rsid w:val="1DD65800"/>
    <w:rsid w:val="1DE94D98"/>
    <w:rsid w:val="1DEC57A6"/>
    <w:rsid w:val="1DF54CE0"/>
    <w:rsid w:val="1E081BFA"/>
    <w:rsid w:val="1E3F5181"/>
    <w:rsid w:val="1E6967BD"/>
    <w:rsid w:val="1E8F4FAF"/>
    <w:rsid w:val="1E996BC3"/>
    <w:rsid w:val="1EA96437"/>
    <w:rsid w:val="1EAB1E63"/>
    <w:rsid w:val="1EC03272"/>
    <w:rsid w:val="1EC91F42"/>
    <w:rsid w:val="1EFA2769"/>
    <w:rsid w:val="1EFB3D6F"/>
    <w:rsid w:val="1EFD507D"/>
    <w:rsid w:val="1F477FE0"/>
    <w:rsid w:val="1F9F5C7A"/>
    <w:rsid w:val="1FAB50F1"/>
    <w:rsid w:val="1FAC2455"/>
    <w:rsid w:val="1FAD5D22"/>
    <w:rsid w:val="1FB62FB3"/>
    <w:rsid w:val="1FBC0501"/>
    <w:rsid w:val="1FE32E4B"/>
    <w:rsid w:val="1FF315AC"/>
    <w:rsid w:val="20076707"/>
    <w:rsid w:val="202B3AD6"/>
    <w:rsid w:val="202E2BF2"/>
    <w:rsid w:val="204001F8"/>
    <w:rsid w:val="204A1CCF"/>
    <w:rsid w:val="20635A0A"/>
    <w:rsid w:val="208321D9"/>
    <w:rsid w:val="20B04DFC"/>
    <w:rsid w:val="20B9134A"/>
    <w:rsid w:val="20FB036D"/>
    <w:rsid w:val="210459B8"/>
    <w:rsid w:val="211D610A"/>
    <w:rsid w:val="21333BA7"/>
    <w:rsid w:val="213E269A"/>
    <w:rsid w:val="21470272"/>
    <w:rsid w:val="214F1CB2"/>
    <w:rsid w:val="214F748B"/>
    <w:rsid w:val="215200C3"/>
    <w:rsid w:val="215503DD"/>
    <w:rsid w:val="21802306"/>
    <w:rsid w:val="218E6E2F"/>
    <w:rsid w:val="21984D32"/>
    <w:rsid w:val="219B1F38"/>
    <w:rsid w:val="21C851D9"/>
    <w:rsid w:val="21CD2F3E"/>
    <w:rsid w:val="21D50CB8"/>
    <w:rsid w:val="21F02CCA"/>
    <w:rsid w:val="21F4222D"/>
    <w:rsid w:val="22187EE0"/>
    <w:rsid w:val="222235FF"/>
    <w:rsid w:val="222538B2"/>
    <w:rsid w:val="222E2612"/>
    <w:rsid w:val="222F08FB"/>
    <w:rsid w:val="2242279A"/>
    <w:rsid w:val="22630696"/>
    <w:rsid w:val="22712345"/>
    <w:rsid w:val="22AC4A6F"/>
    <w:rsid w:val="22C17576"/>
    <w:rsid w:val="22EA4CFA"/>
    <w:rsid w:val="22FB703A"/>
    <w:rsid w:val="23005D0A"/>
    <w:rsid w:val="23190C78"/>
    <w:rsid w:val="2325506A"/>
    <w:rsid w:val="235C051C"/>
    <w:rsid w:val="2382079A"/>
    <w:rsid w:val="239D2A90"/>
    <w:rsid w:val="23A65BF8"/>
    <w:rsid w:val="23BA1394"/>
    <w:rsid w:val="23C70462"/>
    <w:rsid w:val="23CF5672"/>
    <w:rsid w:val="24330953"/>
    <w:rsid w:val="243D59F5"/>
    <w:rsid w:val="24575689"/>
    <w:rsid w:val="245E76FC"/>
    <w:rsid w:val="24712543"/>
    <w:rsid w:val="24767016"/>
    <w:rsid w:val="247A0F48"/>
    <w:rsid w:val="24993D96"/>
    <w:rsid w:val="249B3C7E"/>
    <w:rsid w:val="24A54D31"/>
    <w:rsid w:val="24A62C95"/>
    <w:rsid w:val="24B0725E"/>
    <w:rsid w:val="24C26211"/>
    <w:rsid w:val="24D50BFC"/>
    <w:rsid w:val="24D92FE8"/>
    <w:rsid w:val="24D97783"/>
    <w:rsid w:val="25055C58"/>
    <w:rsid w:val="25292ED2"/>
    <w:rsid w:val="252B72C4"/>
    <w:rsid w:val="25352462"/>
    <w:rsid w:val="25440161"/>
    <w:rsid w:val="2573711B"/>
    <w:rsid w:val="258C0DE1"/>
    <w:rsid w:val="25A34ACC"/>
    <w:rsid w:val="25B53AED"/>
    <w:rsid w:val="25BC3F56"/>
    <w:rsid w:val="25C07FAD"/>
    <w:rsid w:val="25E77333"/>
    <w:rsid w:val="25EE09B0"/>
    <w:rsid w:val="25F35898"/>
    <w:rsid w:val="25FC7929"/>
    <w:rsid w:val="26060062"/>
    <w:rsid w:val="260C53F6"/>
    <w:rsid w:val="26126B02"/>
    <w:rsid w:val="261C1DFF"/>
    <w:rsid w:val="26251A1A"/>
    <w:rsid w:val="26306009"/>
    <w:rsid w:val="264065BF"/>
    <w:rsid w:val="26567652"/>
    <w:rsid w:val="26603F26"/>
    <w:rsid w:val="2668443E"/>
    <w:rsid w:val="266F7A0C"/>
    <w:rsid w:val="26701C4A"/>
    <w:rsid w:val="267264EF"/>
    <w:rsid w:val="267954EC"/>
    <w:rsid w:val="267C4EB4"/>
    <w:rsid w:val="267D563B"/>
    <w:rsid w:val="26B12BCA"/>
    <w:rsid w:val="26B45C0E"/>
    <w:rsid w:val="26C00C73"/>
    <w:rsid w:val="26DE56A8"/>
    <w:rsid w:val="26F53CA9"/>
    <w:rsid w:val="27324426"/>
    <w:rsid w:val="27471CA4"/>
    <w:rsid w:val="2758251E"/>
    <w:rsid w:val="276B793B"/>
    <w:rsid w:val="277733EF"/>
    <w:rsid w:val="27780DAD"/>
    <w:rsid w:val="27A36EE5"/>
    <w:rsid w:val="27E56BBE"/>
    <w:rsid w:val="27E96040"/>
    <w:rsid w:val="27FA5B36"/>
    <w:rsid w:val="27FB4446"/>
    <w:rsid w:val="280E3676"/>
    <w:rsid w:val="282424A5"/>
    <w:rsid w:val="284035F2"/>
    <w:rsid w:val="28527A36"/>
    <w:rsid w:val="285D27C0"/>
    <w:rsid w:val="285E67E4"/>
    <w:rsid w:val="286804B0"/>
    <w:rsid w:val="28A92F6A"/>
    <w:rsid w:val="28EA2387"/>
    <w:rsid w:val="28F15F60"/>
    <w:rsid w:val="28F41EBD"/>
    <w:rsid w:val="28F537AA"/>
    <w:rsid w:val="29080DA3"/>
    <w:rsid w:val="292E0D9E"/>
    <w:rsid w:val="29476243"/>
    <w:rsid w:val="294C31D7"/>
    <w:rsid w:val="29535160"/>
    <w:rsid w:val="2967154B"/>
    <w:rsid w:val="296D4959"/>
    <w:rsid w:val="29794B91"/>
    <w:rsid w:val="298061B1"/>
    <w:rsid w:val="298170A8"/>
    <w:rsid w:val="298955E2"/>
    <w:rsid w:val="29924187"/>
    <w:rsid w:val="29A32FB6"/>
    <w:rsid w:val="29CD16A4"/>
    <w:rsid w:val="29ED14AA"/>
    <w:rsid w:val="29EF5F70"/>
    <w:rsid w:val="29F802FC"/>
    <w:rsid w:val="2A0C291B"/>
    <w:rsid w:val="2A0E26F3"/>
    <w:rsid w:val="2A0F0428"/>
    <w:rsid w:val="2A1028A9"/>
    <w:rsid w:val="2A3A3D8B"/>
    <w:rsid w:val="2A405254"/>
    <w:rsid w:val="2A4D5475"/>
    <w:rsid w:val="2A505513"/>
    <w:rsid w:val="2A5D6D30"/>
    <w:rsid w:val="2A7018A2"/>
    <w:rsid w:val="2A792E55"/>
    <w:rsid w:val="2A9456F4"/>
    <w:rsid w:val="2ACB18CC"/>
    <w:rsid w:val="2AD83434"/>
    <w:rsid w:val="2ADD4ACC"/>
    <w:rsid w:val="2AF84C1B"/>
    <w:rsid w:val="2B194FE0"/>
    <w:rsid w:val="2B2334C4"/>
    <w:rsid w:val="2B2A78A3"/>
    <w:rsid w:val="2B3012EB"/>
    <w:rsid w:val="2B581F4F"/>
    <w:rsid w:val="2B5C7B0E"/>
    <w:rsid w:val="2B7C1129"/>
    <w:rsid w:val="2B861EDC"/>
    <w:rsid w:val="2BCA23E3"/>
    <w:rsid w:val="2BED762A"/>
    <w:rsid w:val="2BEE3213"/>
    <w:rsid w:val="2BF46DD1"/>
    <w:rsid w:val="2BFF4E3C"/>
    <w:rsid w:val="2BFFB524"/>
    <w:rsid w:val="2C1A72F7"/>
    <w:rsid w:val="2C285DDA"/>
    <w:rsid w:val="2C4A797C"/>
    <w:rsid w:val="2C4C6984"/>
    <w:rsid w:val="2C6C6306"/>
    <w:rsid w:val="2C836288"/>
    <w:rsid w:val="2CA549D9"/>
    <w:rsid w:val="2CCB5F20"/>
    <w:rsid w:val="2D033FD0"/>
    <w:rsid w:val="2D1320FD"/>
    <w:rsid w:val="2D3B0A2E"/>
    <w:rsid w:val="2D452F54"/>
    <w:rsid w:val="2D477B33"/>
    <w:rsid w:val="2D725EE4"/>
    <w:rsid w:val="2D87143F"/>
    <w:rsid w:val="2D9B4CDC"/>
    <w:rsid w:val="2DCC4132"/>
    <w:rsid w:val="2E242A88"/>
    <w:rsid w:val="2E4A20D3"/>
    <w:rsid w:val="2E4B0B30"/>
    <w:rsid w:val="2E7C5DC5"/>
    <w:rsid w:val="2E926144"/>
    <w:rsid w:val="2E955826"/>
    <w:rsid w:val="2EA919E6"/>
    <w:rsid w:val="2EB15949"/>
    <w:rsid w:val="2EC21951"/>
    <w:rsid w:val="2F046D0A"/>
    <w:rsid w:val="2F474459"/>
    <w:rsid w:val="2F62265D"/>
    <w:rsid w:val="2F68074A"/>
    <w:rsid w:val="2F8A5859"/>
    <w:rsid w:val="2F8D1DAB"/>
    <w:rsid w:val="2F9D5848"/>
    <w:rsid w:val="2FB41573"/>
    <w:rsid w:val="2FBE1904"/>
    <w:rsid w:val="2FCC1679"/>
    <w:rsid w:val="2FE35BFD"/>
    <w:rsid w:val="2FEC6090"/>
    <w:rsid w:val="30294744"/>
    <w:rsid w:val="302B6CB3"/>
    <w:rsid w:val="303703B7"/>
    <w:rsid w:val="303C2127"/>
    <w:rsid w:val="306E1CED"/>
    <w:rsid w:val="307014F3"/>
    <w:rsid w:val="30921CCE"/>
    <w:rsid w:val="309C4EE2"/>
    <w:rsid w:val="309F4823"/>
    <w:rsid w:val="30E700E9"/>
    <w:rsid w:val="30F009F7"/>
    <w:rsid w:val="30F8606B"/>
    <w:rsid w:val="311860DA"/>
    <w:rsid w:val="314A02F4"/>
    <w:rsid w:val="315101B5"/>
    <w:rsid w:val="31570502"/>
    <w:rsid w:val="315E2625"/>
    <w:rsid w:val="316359B1"/>
    <w:rsid w:val="316E0EFD"/>
    <w:rsid w:val="318529AA"/>
    <w:rsid w:val="31BB3526"/>
    <w:rsid w:val="31D67196"/>
    <w:rsid w:val="3201262F"/>
    <w:rsid w:val="32157663"/>
    <w:rsid w:val="32261466"/>
    <w:rsid w:val="322A1298"/>
    <w:rsid w:val="323B6E74"/>
    <w:rsid w:val="32537313"/>
    <w:rsid w:val="325872B3"/>
    <w:rsid w:val="326958BC"/>
    <w:rsid w:val="327F2033"/>
    <w:rsid w:val="32946609"/>
    <w:rsid w:val="32AA5081"/>
    <w:rsid w:val="32B034B7"/>
    <w:rsid w:val="32DE13CF"/>
    <w:rsid w:val="32FF4901"/>
    <w:rsid w:val="33085F24"/>
    <w:rsid w:val="330A6248"/>
    <w:rsid w:val="331529E2"/>
    <w:rsid w:val="331E6332"/>
    <w:rsid w:val="333B3E7C"/>
    <w:rsid w:val="33651F25"/>
    <w:rsid w:val="33652388"/>
    <w:rsid w:val="336E5F6C"/>
    <w:rsid w:val="33764930"/>
    <w:rsid w:val="33A509AA"/>
    <w:rsid w:val="33B50588"/>
    <w:rsid w:val="33B64FCD"/>
    <w:rsid w:val="33CD760B"/>
    <w:rsid w:val="33D52937"/>
    <w:rsid w:val="340251D6"/>
    <w:rsid w:val="342551E4"/>
    <w:rsid w:val="34411B49"/>
    <w:rsid w:val="34490E28"/>
    <w:rsid w:val="34495D5D"/>
    <w:rsid w:val="34517E03"/>
    <w:rsid w:val="345E79D9"/>
    <w:rsid w:val="34625C0B"/>
    <w:rsid w:val="347924CA"/>
    <w:rsid w:val="348A249C"/>
    <w:rsid w:val="34B77925"/>
    <w:rsid w:val="34BC33FC"/>
    <w:rsid w:val="34C630A6"/>
    <w:rsid w:val="34C94498"/>
    <w:rsid w:val="34DC7623"/>
    <w:rsid w:val="34E87F53"/>
    <w:rsid w:val="353F2860"/>
    <w:rsid w:val="35521B47"/>
    <w:rsid w:val="355D0A51"/>
    <w:rsid w:val="35793D71"/>
    <w:rsid w:val="358C4EAA"/>
    <w:rsid w:val="35946C31"/>
    <w:rsid w:val="35AA3319"/>
    <w:rsid w:val="35B4625C"/>
    <w:rsid w:val="35D46E09"/>
    <w:rsid w:val="35E80BFF"/>
    <w:rsid w:val="36162611"/>
    <w:rsid w:val="36173CCD"/>
    <w:rsid w:val="3620361B"/>
    <w:rsid w:val="365367D9"/>
    <w:rsid w:val="368B49B6"/>
    <w:rsid w:val="368E3CC0"/>
    <w:rsid w:val="36AC75AF"/>
    <w:rsid w:val="36BB3DA7"/>
    <w:rsid w:val="36C00826"/>
    <w:rsid w:val="36DB5008"/>
    <w:rsid w:val="36FB02D3"/>
    <w:rsid w:val="36FB19C1"/>
    <w:rsid w:val="370522D0"/>
    <w:rsid w:val="3731439E"/>
    <w:rsid w:val="374E1A9C"/>
    <w:rsid w:val="375201D1"/>
    <w:rsid w:val="37583121"/>
    <w:rsid w:val="375B3C93"/>
    <w:rsid w:val="377628F7"/>
    <w:rsid w:val="37792152"/>
    <w:rsid w:val="37872C92"/>
    <w:rsid w:val="378F6D77"/>
    <w:rsid w:val="37906E58"/>
    <w:rsid w:val="3799016D"/>
    <w:rsid w:val="37995AE7"/>
    <w:rsid w:val="37B628F7"/>
    <w:rsid w:val="37BC1648"/>
    <w:rsid w:val="37C83693"/>
    <w:rsid w:val="37D261A1"/>
    <w:rsid w:val="37E114EE"/>
    <w:rsid w:val="37E732B4"/>
    <w:rsid w:val="37F25215"/>
    <w:rsid w:val="380D5127"/>
    <w:rsid w:val="381A387F"/>
    <w:rsid w:val="382258BE"/>
    <w:rsid w:val="384908EC"/>
    <w:rsid w:val="384A51E4"/>
    <w:rsid w:val="385916F6"/>
    <w:rsid w:val="38840E39"/>
    <w:rsid w:val="38ED1C69"/>
    <w:rsid w:val="39067241"/>
    <w:rsid w:val="39094B73"/>
    <w:rsid w:val="393D4368"/>
    <w:rsid w:val="394B4383"/>
    <w:rsid w:val="39507C42"/>
    <w:rsid w:val="39535FC7"/>
    <w:rsid w:val="39567CFB"/>
    <w:rsid w:val="395D0BF4"/>
    <w:rsid w:val="397E51AB"/>
    <w:rsid w:val="398F5F87"/>
    <w:rsid w:val="39902C7F"/>
    <w:rsid w:val="39A706FB"/>
    <w:rsid w:val="39C0473E"/>
    <w:rsid w:val="39CC2ECA"/>
    <w:rsid w:val="39D236E8"/>
    <w:rsid w:val="39D372FF"/>
    <w:rsid w:val="39E61AE2"/>
    <w:rsid w:val="3A0D6FD2"/>
    <w:rsid w:val="3A372F4A"/>
    <w:rsid w:val="3A37354B"/>
    <w:rsid w:val="3A7F563C"/>
    <w:rsid w:val="3A8301CA"/>
    <w:rsid w:val="3A852202"/>
    <w:rsid w:val="3ABB02C8"/>
    <w:rsid w:val="3ABF3CA4"/>
    <w:rsid w:val="3ADE4BDC"/>
    <w:rsid w:val="3AF9160C"/>
    <w:rsid w:val="3B060AE4"/>
    <w:rsid w:val="3B081C31"/>
    <w:rsid w:val="3B3F3CF4"/>
    <w:rsid w:val="3B403BD1"/>
    <w:rsid w:val="3B693A1F"/>
    <w:rsid w:val="3B7B68B2"/>
    <w:rsid w:val="3B846932"/>
    <w:rsid w:val="3B90705F"/>
    <w:rsid w:val="3B961FD8"/>
    <w:rsid w:val="3BAF0191"/>
    <w:rsid w:val="3BAF6371"/>
    <w:rsid w:val="3BBD5FA2"/>
    <w:rsid w:val="3BBF5386"/>
    <w:rsid w:val="3BDF7250"/>
    <w:rsid w:val="3BE43CCF"/>
    <w:rsid w:val="3C0A6D4D"/>
    <w:rsid w:val="3C0B5979"/>
    <w:rsid w:val="3C0D5E5C"/>
    <w:rsid w:val="3C0E60C4"/>
    <w:rsid w:val="3C110F60"/>
    <w:rsid w:val="3C155D28"/>
    <w:rsid w:val="3C214FCC"/>
    <w:rsid w:val="3C46598D"/>
    <w:rsid w:val="3C6B01B2"/>
    <w:rsid w:val="3C6D4D6B"/>
    <w:rsid w:val="3C6D7055"/>
    <w:rsid w:val="3C6F3394"/>
    <w:rsid w:val="3C6F6864"/>
    <w:rsid w:val="3CC44D40"/>
    <w:rsid w:val="3CCD7EA7"/>
    <w:rsid w:val="3CF37E0D"/>
    <w:rsid w:val="3CF90354"/>
    <w:rsid w:val="3D24762D"/>
    <w:rsid w:val="3D4B7A3D"/>
    <w:rsid w:val="3D5E7289"/>
    <w:rsid w:val="3D63059B"/>
    <w:rsid w:val="3D996E73"/>
    <w:rsid w:val="3DA60DBB"/>
    <w:rsid w:val="3DB964DC"/>
    <w:rsid w:val="3DCC4823"/>
    <w:rsid w:val="3DD659F6"/>
    <w:rsid w:val="3DD963B9"/>
    <w:rsid w:val="3DDF42A3"/>
    <w:rsid w:val="3DE4753D"/>
    <w:rsid w:val="3DEE1445"/>
    <w:rsid w:val="3E09759C"/>
    <w:rsid w:val="3E2E5C3F"/>
    <w:rsid w:val="3E4619B8"/>
    <w:rsid w:val="3E7E6AAC"/>
    <w:rsid w:val="3E873910"/>
    <w:rsid w:val="3EB77427"/>
    <w:rsid w:val="3EBC4E7A"/>
    <w:rsid w:val="3EC6684D"/>
    <w:rsid w:val="3EE36457"/>
    <w:rsid w:val="3EE76488"/>
    <w:rsid w:val="3EF87E94"/>
    <w:rsid w:val="3F28582E"/>
    <w:rsid w:val="3F293836"/>
    <w:rsid w:val="3F334D56"/>
    <w:rsid w:val="3F390A94"/>
    <w:rsid w:val="3F3B43C4"/>
    <w:rsid w:val="3F4C5F61"/>
    <w:rsid w:val="3F8D55E0"/>
    <w:rsid w:val="3F8D7AA6"/>
    <w:rsid w:val="3FA53481"/>
    <w:rsid w:val="3FB86017"/>
    <w:rsid w:val="3FBE2151"/>
    <w:rsid w:val="3FC26926"/>
    <w:rsid w:val="3FD47A4D"/>
    <w:rsid w:val="3FE300D0"/>
    <w:rsid w:val="3FFC3EB4"/>
    <w:rsid w:val="40066A4F"/>
    <w:rsid w:val="40155379"/>
    <w:rsid w:val="402E2839"/>
    <w:rsid w:val="40510376"/>
    <w:rsid w:val="406234CE"/>
    <w:rsid w:val="408264B8"/>
    <w:rsid w:val="408E250C"/>
    <w:rsid w:val="40973CB3"/>
    <w:rsid w:val="40AD00D4"/>
    <w:rsid w:val="40D25448"/>
    <w:rsid w:val="40D566D8"/>
    <w:rsid w:val="40D743BA"/>
    <w:rsid w:val="40E735B8"/>
    <w:rsid w:val="410E3527"/>
    <w:rsid w:val="4136428A"/>
    <w:rsid w:val="41390199"/>
    <w:rsid w:val="413E1696"/>
    <w:rsid w:val="41402113"/>
    <w:rsid w:val="414673EF"/>
    <w:rsid w:val="414B3DA9"/>
    <w:rsid w:val="414C1CB1"/>
    <w:rsid w:val="41896292"/>
    <w:rsid w:val="419637D1"/>
    <w:rsid w:val="41AD4982"/>
    <w:rsid w:val="41B33018"/>
    <w:rsid w:val="41C7118A"/>
    <w:rsid w:val="41C80F28"/>
    <w:rsid w:val="41E2400F"/>
    <w:rsid w:val="42072ED1"/>
    <w:rsid w:val="42137866"/>
    <w:rsid w:val="425F3DFB"/>
    <w:rsid w:val="427A5588"/>
    <w:rsid w:val="4295526F"/>
    <w:rsid w:val="42AB2355"/>
    <w:rsid w:val="42BA53C1"/>
    <w:rsid w:val="42C1264A"/>
    <w:rsid w:val="42C42797"/>
    <w:rsid w:val="42CA106B"/>
    <w:rsid w:val="42D02C56"/>
    <w:rsid w:val="42D52339"/>
    <w:rsid w:val="42E40ACD"/>
    <w:rsid w:val="43000294"/>
    <w:rsid w:val="435C6144"/>
    <w:rsid w:val="438E4E37"/>
    <w:rsid w:val="43C434F1"/>
    <w:rsid w:val="43D12F09"/>
    <w:rsid w:val="43E81B01"/>
    <w:rsid w:val="44137CD9"/>
    <w:rsid w:val="44231DBC"/>
    <w:rsid w:val="44286D6B"/>
    <w:rsid w:val="443219DC"/>
    <w:rsid w:val="44496A79"/>
    <w:rsid w:val="444E215D"/>
    <w:rsid w:val="445604E9"/>
    <w:rsid w:val="445641FF"/>
    <w:rsid w:val="44703BCD"/>
    <w:rsid w:val="44893353"/>
    <w:rsid w:val="44B22338"/>
    <w:rsid w:val="44B71300"/>
    <w:rsid w:val="44C011B3"/>
    <w:rsid w:val="44C22F2C"/>
    <w:rsid w:val="44D8709F"/>
    <w:rsid w:val="44DE1B3C"/>
    <w:rsid w:val="452D6F0E"/>
    <w:rsid w:val="45327C2A"/>
    <w:rsid w:val="456317E2"/>
    <w:rsid w:val="45692861"/>
    <w:rsid w:val="45891D38"/>
    <w:rsid w:val="45932081"/>
    <w:rsid w:val="45A04578"/>
    <w:rsid w:val="45B776BE"/>
    <w:rsid w:val="45CB0510"/>
    <w:rsid w:val="45CB4D7D"/>
    <w:rsid w:val="45E65A88"/>
    <w:rsid w:val="45EB3AB9"/>
    <w:rsid w:val="46007C22"/>
    <w:rsid w:val="46411AE6"/>
    <w:rsid w:val="467B473B"/>
    <w:rsid w:val="468273E7"/>
    <w:rsid w:val="46893CAD"/>
    <w:rsid w:val="468D77DC"/>
    <w:rsid w:val="46A936B0"/>
    <w:rsid w:val="46AE7CEF"/>
    <w:rsid w:val="46B972B8"/>
    <w:rsid w:val="46C20CDB"/>
    <w:rsid w:val="46C46621"/>
    <w:rsid w:val="46C55406"/>
    <w:rsid w:val="471751B9"/>
    <w:rsid w:val="47397D30"/>
    <w:rsid w:val="47411324"/>
    <w:rsid w:val="47470441"/>
    <w:rsid w:val="47476E0F"/>
    <w:rsid w:val="474E70EE"/>
    <w:rsid w:val="477720CC"/>
    <w:rsid w:val="47791A1A"/>
    <w:rsid w:val="477C2BC7"/>
    <w:rsid w:val="47BA0A2A"/>
    <w:rsid w:val="47BD6779"/>
    <w:rsid w:val="47C21A04"/>
    <w:rsid w:val="47C54C41"/>
    <w:rsid w:val="47DA0270"/>
    <w:rsid w:val="48237F81"/>
    <w:rsid w:val="48313586"/>
    <w:rsid w:val="485A27D8"/>
    <w:rsid w:val="48930C8C"/>
    <w:rsid w:val="48A43B32"/>
    <w:rsid w:val="48A8080D"/>
    <w:rsid w:val="48B62386"/>
    <w:rsid w:val="48C16EC5"/>
    <w:rsid w:val="48D334CA"/>
    <w:rsid w:val="48E50DBF"/>
    <w:rsid w:val="48E75A64"/>
    <w:rsid w:val="49015783"/>
    <w:rsid w:val="495140F2"/>
    <w:rsid w:val="49532FFF"/>
    <w:rsid w:val="49577C2C"/>
    <w:rsid w:val="49584F34"/>
    <w:rsid w:val="496B1CDF"/>
    <w:rsid w:val="496C637F"/>
    <w:rsid w:val="499E6C57"/>
    <w:rsid w:val="49A776CE"/>
    <w:rsid w:val="49B80EC3"/>
    <w:rsid w:val="49BD2C61"/>
    <w:rsid w:val="49D363CC"/>
    <w:rsid w:val="49D94C50"/>
    <w:rsid w:val="49E51CCA"/>
    <w:rsid w:val="49FB01C6"/>
    <w:rsid w:val="49FC3023"/>
    <w:rsid w:val="4A056DC5"/>
    <w:rsid w:val="4A1D5BF4"/>
    <w:rsid w:val="4A1E450A"/>
    <w:rsid w:val="4A227AF6"/>
    <w:rsid w:val="4A2755C9"/>
    <w:rsid w:val="4A2E75A7"/>
    <w:rsid w:val="4A49588F"/>
    <w:rsid w:val="4A6F393D"/>
    <w:rsid w:val="4A7C3B2C"/>
    <w:rsid w:val="4A8133DA"/>
    <w:rsid w:val="4A833E10"/>
    <w:rsid w:val="4A962D4E"/>
    <w:rsid w:val="4A9D0338"/>
    <w:rsid w:val="4AA34F9A"/>
    <w:rsid w:val="4AAA2FE4"/>
    <w:rsid w:val="4AAF3C9D"/>
    <w:rsid w:val="4ACB66D4"/>
    <w:rsid w:val="4AD25D50"/>
    <w:rsid w:val="4ADD3049"/>
    <w:rsid w:val="4B1367B9"/>
    <w:rsid w:val="4B7071F0"/>
    <w:rsid w:val="4B7364C9"/>
    <w:rsid w:val="4B7F2918"/>
    <w:rsid w:val="4B8342DE"/>
    <w:rsid w:val="4B9071C8"/>
    <w:rsid w:val="4BB32D44"/>
    <w:rsid w:val="4BBF01BD"/>
    <w:rsid w:val="4BC03A5A"/>
    <w:rsid w:val="4BC447FD"/>
    <w:rsid w:val="4BE14ECE"/>
    <w:rsid w:val="4BEC3FE2"/>
    <w:rsid w:val="4BFD50F3"/>
    <w:rsid w:val="4C5C36E5"/>
    <w:rsid w:val="4C773EAA"/>
    <w:rsid w:val="4C7E7FE9"/>
    <w:rsid w:val="4C8D243B"/>
    <w:rsid w:val="4C9F1C6B"/>
    <w:rsid w:val="4CA73116"/>
    <w:rsid w:val="4CA82BAE"/>
    <w:rsid w:val="4CAB3BDE"/>
    <w:rsid w:val="4CB229E2"/>
    <w:rsid w:val="4CD20279"/>
    <w:rsid w:val="4CEA4EC9"/>
    <w:rsid w:val="4CF81C40"/>
    <w:rsid w:val="4D087AE6"/>
    <w:rsid w:val="4D116EA9"/>
    <w:rsid w:val="4D117831"/>
    <w:rsid w:val="4D1A46E5"/>
    <w:rsid w:val="4D764C88"/>
    <w:rsid w:val="4D785BA5"/>
    <w:rsid w:val="4DE73556"/>
    <w:rsid w:val="4DFC6C83"/>
    <w:rsid w:val="4E1073C9"/>
    <w:rsid w:val="4E1139C4"/>
    <w:rsid w:val="4E1A50EC"/>
    <w:rsid w:val="4E20568D"/>
    <w:rsid w:val="4E235559"/>
    <w:rsid w:val="4E4C4D02"/>
    <w:rsid w:val="4E4D2084"/>
    <w:rsid w:val="4E4E2673"/>
    <w:rsid w:val="4E8A65EF"/>
    <w:rsid w:val="4E8B339B"/>
    <w:rsid w:val="4E9B73A1"/>
    <w:rsid w:val="4EB16B05"/>
    <w:rsid w:val="4EB338A7"/>
    <w:rsid w:val="4ED73EC7"/>
    <w:rsid w:val="4EF659A4"/>
    <w:rsid w:val="4F262890"/>
    <w:rsid w:val="4F342A81"/>
    <w:rsid w:val="4F343D4D"/>
    <w:rsid w:val="4F344223"/>
    <w:rsid w:val="4F544AF2"/>
    <w:rsid w:val="4F570600"/>
    <w:rsid w:val="4F96182B"/>
    <w:rsid w:val="4F9872B8"/>
    <w:rsid w:val="4F9B373E"/>
    <w:rsid w:val="4FB84709"/>
    <w:rsid w:val="4FC60A61"/>
    <w:rsid w:val="4FCD14EF"/>
    <w:rsid w:val="50264A54"/>
    <w:rsid w:val="50350E15"/>
    <w:rsid w:val="503659CA"/>
    <w:rsid w:val="503E1C5B"/>
    <w:rsid w:val="50454F5D"/>
    <w:rsid w:val="505A1B7D"/>
    <w:rsid w:val="50756C63"/>
    <w:rsid w:val="508A4E33"/>
    <w:rsid w:val="50950307"/>
    <w:rsid w:val="50957C1B"/>
    <w:rsid w:val="5098303C"/>
    <w:rsid w:val="50DA18E3"/>
    <w:rsid w:val="50DC3199"/>
    <w:rsid w:val="50EB7F36"/>
    <w:rsid w:val="510B0289"/>
    <w:rsid w:val="510D1DB3"/>
    <w:rsid w:val="512947B0"/>
    <w:rsid w:val="513F38F7"/>
    <w:rsid w:val="51704844"/>
    <w:rsid w:val="51754C46"/>
    <w:rsid w:val="5185703F"/>
    <w:rsid w:val="518E69CB"/>
    <w:rsid w:val="51951C58"/>
    <w:rsid w:val="51D44E2E"/>
    <w:rsid w:val="51E33089"/>
    <w:rsid w:val="51E33EAE"/>
    <w:rsid w:val="5218197D"/>
    <w:rsid w:val="521C7F46"/>
    <w:rsid w:val="521E00C8"/>
    <w:rsid w:val="5275010F"/>
    <w:rsid w:val="527B351F"/>
    <w:rsid w:val="527B6DD1"/>
    <w:rsid w:val="528B2AD9"/>
    <w:rsid w:val="5296053D"/>
    <w:rsid w:val="52AD6DFA"/>
    <w:rsid w:val="52AF2583"/>
    <w:rsid w:val="52EA4939"/>
    <w:rsid w:val="52F4160F"/>
    <w:rsid w:val="52F61E27"/>
    <w:rsid w:val="530A1E2B"/>
    <w:rsid w:val="53253523"/>
    <w:rsid w:val="53312B44"/>
    <w:rsid w:val="533426F9"/>
    <w:rsid w:val="533C75E6"/>
    <w:rsid w:val="534C3C55"/>
    <w:rsid w:val="535156CC"/>
    <w:rsid w:val="53571602"/>
    <w:rsid w:val="535A26F5"/>
    <w:rsid w:val="537B1F4B"/>
    <w:rsid w:val="538039F3"/>
    <w:rsid w:val="538C1421"/>
    <w:rsid w:val="53932472"/>
    <w:rsid w:val="53A0372C"/>
    <w:rsid w:val="53C85A7D"/>
    <w:rsid w:val="53E762B8"/>
    <w:rsid w:val="53F9124B"/>
    <w:rsid w:val="53FE49C6"/>
    <w:rsid w:val="53FF2FA1"/>
    <w:rsid w:val="541163B4"/>
    <w:rsid w:val="542A2CD8"/>
    <w:rsid w:val="54326828"/>
    <w:rsid w:val="543D645D"/>
    <w:rsid w:val="54532941"/>
    <w:rsid w:val="54697FEC"/>
    <w:rsid w:val="548A03B3"/>
    <w:rsid w:val="54A85071"/>
    <w:rsid w:val="54D40858"/>
    <w:rsid w:val="54EA4691"/>
    <w:rsid w:val="54FF2600"/>
    <w:rsid w:val="551556A5"/>
    <w:rsid w:val="551C0C9D"/>
    <w:rsid w:val="551D635C"/>
    <w:rsid w:val="551E0449"/>
    <w:rsid w:val="55330689"/>
    <w:rsid w:val="554B420B"/>
    <w:rsid w:val="556D61CF"/>
    <w:rsid w:val="55747599"/>
    <w:rsid w:val="557D030C"/>
    <w:rsid w:val="559D5F6E"/>
    <w:rsid w:val="55A52FCA"/>
    <w:rsid w:val="55B37759"/>
    <w:rsid w:val="55D62985"/>
    <w:rsid w:val="55F3456B"/>
    <w:rsid w:val="5603307B"/>
    <w:rsid w:val="56134CE9"/>
    <w:rsid w:val="56220823"/>
    <w:rsid w:val="562F2724"/>
    <w:rsid w:val="56315C27"/>
    <w:rsid w:val="564A0A1A"/>
    <w:rsid w:val="56607DA7"/>
    <w:rsid w:val="56737C3E"/>
    <w:rsid w:val="5686066F"/>
    <w:rsid w:val="56E32167"/>
    <w:rsid w:val="56FC3FAD"/>
    <w:rsid w:val="570A455B"/>
    <w:rsid w:val="571D0ED6"/>
    <w:rsid w:val="57341DAA"/>
    <w:rsid w:val="57494340"/>
    <w:rsid w:val="57692B68"/>
    <w:rsid w:val="576A732B"/>
    <w:rsid w:val="57AB43E4"/>
    <w:rsid w:val="57B029FA"/>
    <w:rsid w:val="57C07FCD"/>
    <w:rsid w:val="57F86BB8"/>
    <w:rsid w:val="580C26C9"/>
    <w:rsid w:val="581C6B4D"/>
    <w:rsid w:val="582D5478"/>
    <w:rsid w:val="58597EFD"/>
    <w:rsid w:val="589A3B08"/>
    <w:rsid w:val="58A8534B"/>
    <w:rsid w:val="58C331FC"/>
    <w:rsid w:val="58DB2A92"/>
    <w:rsid w:val="58EF0A2F"/>
    <w:rsid w:val="58FE7752"/>
    <w:rsid w:val="591D380B"/>
    <w:rsid w:val="593D77E8"/>
    <w:rsid w:val="598F4970"/>
    <w:rsid w:val="59E82581"/>
    <w:rsid w:val="59F0607E"/>
    <w:rsid w:val="59FC5BF4"/>
    <w:rsid w:val="5A05469F"/>
    <w:rsid w:val="5A0A7F00"/>
    <w:rsid w:val="5A2A0BBB"/>
    <w:rsid w:val="5A3B2B55"/>
    <w:rsid w:val="5A4C13F7"/>
    <w:rsid w:val="5A4F2360"/>
    <w:rsid w:val="5A552B75"/>
    <w:rsid w:val="5A615BD7"/>
    <w:rsid w:val="5A7D36A9"/>
    <w:rsid w:val="5A915C3E"/>
    <w:rsid w:val="5AC450F6"/>
    <w:rsid w:val="5AC775A4"/>
    <w:rsid w:val="5AF7787A"/>
    <w:rsid w:val="5B0D06A5"/>
    <w:rsid w:val="5B364B32"/>
    <w:rsid w:val="5B3A6F1A"/>
    <w:rsid w:val="5B3B6850"/>
    <w:rsid w:val="5BA97558"/>
    <w:rsid w:val="5BC5731A"/>
    <w:rsid w:val="5BC75919"/>
    <w:rsid w:val="5BE41070"/>
    <w:rsid w:val="5BEA0263"/>
    <w:rsid w:val="5C1930C6"/>
    <w:rsid w:val="5C3441D2"/>
    <w:rsid w:val="5C553A88"/>
    <w:rsid w:val="5C65518C"/>
    <w:rsid w:val="5CA72002"/>
    <w:rsid w:val="5CC11726"/>
    <w:rsid w:val="5CD33E52"/>
    <w:rsid w:val="5CDA4F5E"/>
    <w:rsid w:val="5D114A86"/>
    <w:rsid w:val="5D3D3131"/>
    <w:rsid w:val="5D564930"/>
    <w:rsid w:val="5D8D2FA6"/>
    <w:rsid w:val="5DA05AD5"/>
    <w:rsid w:val="5DDF498A"/>
    <w:rsid w:val="5DEF3C63"/>
    <w:rsid w:val="5DF70A77"/>
    <w:rsid w:val="5E1A0E76"/>
    <w:rsid w:val="5E233D2A"/>
    <w:rsid w:val="5E291B76"/>
    <w:rsid w:val="5E2F166E"/>
    <w:rsid w:val="5E550022"/>
    <w:rsid w:val="5E5E21CC"/>
    <w:rsid w:val="5E5F5831"/>
    <w:rsid w:val="5E780DA4"/>
    <w:rsid w:val="5E976C05"/>
    <w:rsid w:val="5EA55066"/>
    <w:rsid w:val="5EB008F8"/>
    <w:rsid w:val="5EBA1660"/>
    <w:rsid w:val="5ED80C7B"/>
    <w:rsid w:val="5EDE116F"/>
    <w:rsid w:val="5EE95E4D"/>
    <w:rsid w:val="5EF05D79"/>
    <w:rsid w:val="5F085963"/>
    <w:rsid w:val="5F2B1033"/>
    <w:rsid w:val="5F2D4183"/>
    <w:rsid w:val="5F326BE9"/>
    <w:rsid w:val="5F376D7C"/>
    <w:rsid w:val="5F401B99"/>
    <w:rsid w:val="5F4D3766"/>
    <w:rsid w:val="5F4D6939"/>
    <w:rsid w:val="5F5C4E38"/>
    <w:rsid w:val="5F6D1A9C"/>
    <w:rsid w:val="5F7D4617"/>
    <w:rsid w:val="5F8026F3"/>
    <w:rsid w:val="5F8E29B0"/>
    <w:rsid w:val="5F8E53D9"/>
    <w:rsid w:val="5FA57067"/>
    <w:rsid w:val="5FC559AE"/>
    <w:rsid w:val="5FDB2789"/>
    <w:rsid w:val="5FE471D1"/>
    <w:rsid w:val="5FEB775B"/>
    <w:rsid w:val="5FEE09A0"/>
    <w:rsid w:val="5FFB5324"/>
    <w:rsid w:val="602154F4"/>
    <w:rsid w:val="60343722"/>
    <w:rsid w:val="6063730E"/>
    <w:rsid w:val="606C1C3C"/>
    <w:rsid w:val="607A1C1F"/>
    <w:rsid w:val="608413B5"/>
    <w:rsid w:val="60862BBC"/>
    <w:rsid w:val="60932D24"/>
    <w:rsid w:val="60BC4D45"/>
    <w:rsid w:val="60BE0B0B"/>
    <w:rsid w:val="60C13D42"/>
    <w:rsid w:val="60C2255D"/>
    <w:rsid w:val="60CD4CA6"/>
    <w:rsid w:val="60D422E8"/>
    <w:rsid w:val="60D61108"/>
    <w:rsid w:val="60F825DF"/>
    <w:rsid w:val="60FF7BD0"/>
    <w:rsid w:val="610B0135"/>
    <w:rsid w:val="61402C9C"/>
    <w:rsid w:val="6150060B"/>
    <w:rsid w:val="616666A6"/>
    <w:rsid w:val="617D727E"/>
    <w:rsid w:val="61800748"/>
    <w:rsid w:val="619F7B94"/>
    <w:rsid w:val="61A2286C"/>
    <w:rsid w:val="61B645A4"/>
    <w:rsid w:val="61CA386B"/>
    <w:rsid w:val="61DB7301"/>
    <w:rsid w:val="61DF0426"/>
    <w:rsid w:val="61E30703"/>
    <w:rsid w:val="61EB2310"/>
    <w:rsid w:val="61F226F1"/>
    <w:rsid w:val="621B2D8E"/>
    <w:rsid w:val="62391886"/>
    <w:rsid w:val="625D6300"/>
    <w:rsid w:val="62932E59"/>
    <w:rsid w:val="62A02730"/>
    <w:rsid w:val="62A82843"/>
    <w:rsid w:val="62B50A95"/>
    <w:rsid w:val="62C72C6C"/>
    <w:rsid w:val="62D27BAF"/>
    <w:rsid w:val="62E278F0"/>
    <w:rsid w:val="630532D4"/>
    <w:rsid w:val="632D3FA6"/>
    <w:rsid w:val="632F68D5"/>
    <w:rsid w:val="63542A6B"/>
    <w:rsid w:val="635A18FD"/>
    <w:rsid w:val="635D05A1"/>
    <w:rsid w:val="636267A6"/>
    <w:rsid w:val="6367090A"/>
    <w:rsid w:val="63891211"/>
    <w:rsid w:val="63A308AA"/>
    <w:rsid w:val="63A97173"/>
    <w:rsid w:val="63AC2D96"/>
    <w:rsid w:val="63C97839"/>
    <w:rsid w:val="63EF11FE"/>
    <w:rsid w:val="63F73336"/>
    <w:rsid w:val="640B731B"/>
    <w:rsid w:val="64374EF8"/>
    <w:rsid w:val="64523068"/>
    <w:rsid w:val="645E25F6"/>
    <w:rsid w:val="64703AA0"/>
    <w:rsid w:val="64B57273"/>
    <w:rsid w:val="64C70EAE"/>
    <w:rsid w:val="64D97E09"/>
    <w:rsid w:val="64F4332B"/>
    <w:rsid w:val="6524408F"/>
    <w:rsid w:val="65397F9E"/>
    <w:rsid w:val="65435CDD"/>
    <w:rsid w:val="654926F7"/>
    <w:rsid w:val="654B1C89"/>
    <w:rsid w:val="657B02F4"/>
    <w:rsid w:val="658B18DE"/>
    <w:rsid w:val="65A75F70"/>
    <w:rsid w:val="65A8023B"/>
    <w:rsid w:val="65B90D3C"/>
    <w:rsid w:val="65C90158"/>
    <w:rsid w:val="65D92CED"/>
    <w:rsid w:val="65FA20A6"/>
    <w:rsid w:val="65FB38DF"/>
    <w:rsid w:val="65FF4D35"/>
    <w:rsid w:val="661B5100"/>
    <w:rsid w:val="66224001"/>
    <w:rsid w:val="66314ADD"/>
    <w:rsid w:val="66351CD5"/>
    <w:rsid w:val="663F4E0F"/>
    <w:rsid w:val="66451FBA"/>
    <w:rsid w:val="66684DCE"/>
    <w:rsid w:val="6679714B"/>
    <w:rsid w:val="66B21A2F"/>
    <w:rsid w:val="66BD6E21"/>
    <w:rsid w:val="66CD3C37"/>
    <w:rsid w:val="66D205C9"/>
    <w:rsid w:val="66D34CCD"/>
    <w:rsid w:val="66DD7F56"/>
    <w:rsid w:val="66E85039"/>
    <w:rsid w:val="66EB705E"/>
    <w:rsid w:val="67134662"/>
    <w:rsid w:val="671A37F9"/>
    <w:rsid w:val="672542C6"/>
    <w:rsid w:val="673C5A10"/>
    <w:rsid w:val="67496A1D"/>
    <w:rsid w:val="67565640"/>
    <w:rsid w:val="675F3BDD"/>
    <w:rsid w:val="678F56FF"/>
    <w:rsid w:val="6791696A"/>
    <w:rsid w:val="67A1433C"/>
    <w:rsid w:val="67AE7EF2"/>
    <w:rsid w:val="67C65CD7"/>
    <w:rsid w:val="67DE49F2"/>
    <w:rsid w:val="67FF1BB2"/>
    <w:rsid w:val="681D7191"/>
    <w:rsid w:val="684B4206"/>
    <w:rsid w:val="684F2F8E"/>
    <w:rsid w:val="685D1F03"/>
    <w:rsid w:val="68637725"/>
    <w:rsid w:val="686544F3"/>
    <w:rsid w:val="686B5E59"/>
    <w:rsid w:val="687F4B2C"/>
    <w:rsid w:val="68921D9A"/>
    <w:rsid w:val="68D05A29"/>
    <w:rsid w:val="68EA5751"/>
    <w:rsid w:val="68F4619D"/>
    <w:rsid w:val="69064682"/>
    <w:rsid w:val="691B6DE1"/>
    <w:rsid w:val="6927322B"/>
    <w:rsid w:val="69296113"/>
    <w:rsid w:val="693B7D53"/>
    <w:rsid w:val="69423D2E"/>
    <w:rsid w:val="694557DC"/>
    <w:rsid w:val="69611236"/>
    <w:rsid w:val="69635B34"/>
    <w:rsid w:val="699A504F"/>
    <w:rsid w:val="69DB43DF"/>
    <w:rsid w:val="69DC073E"/>
    <w:rsid w:val="69E708E4"/>
    <w:rsid w:val="69F27D44"/>
    <w:rsid w:val="6A0047C4"/>
    <w:rsid w:val="6A1C42F6"/>
    <w:rsid w:val="6A476E99"/>
    <w:rsid w:val="6A662A5E"/>
    <w:rsid w:val="6A896204"/>
    <w:rsid w:val="6A957581"/>
    <w:rsid w:val="6A975A3E"/>
    <w:rsid w:val="6B1C35F1"/>
    <w:rsid w:val="6B62463B"/>
    <w:rsid w:val="6B8B0D55"/>
    <w:rsid w:val="6BA70635"/>
    <w:rsid w:val="6BAA5615"/>
    <w:rsid w:val="6BBD0EFB"/>
    <w:rsid w:val="6BDF79FA"/>
    <w:rsid w:val="6BE1621C"/>
    <w:rsid w:val="6BEC2712"/>
    <w:rsid w:val="6BFA3301"/>
    <w:rsid w:val="6C5C00D6"/>
    <w:rsid w:val="6C760CE8"/>
    <w:rsid w:val="6C914673"/>
    <w:rsid w:val="6CA0543E"/>
    <w:rsid w:val="6CA47440"/>
    <w:rsid w:val="6CB111D6"/>
    <w:rsid w:val="6CB14C1A"/>
    <w:rsid w:val="6CC4758B"/>
    <w:rsid w:val="6CC86CB9"/>
    <w:rsid w:val="6CDC3F9A"/>
    <w:rsid w:val="6CE274D1"/>
    <w:rsid w:val="6CF7043C"/>
    <w:rsid w:val="6D5FC9B4"/>
    <w:rsid w:val="6D7B3B19"/>
    <w:rsid w:val="6D7D6EC7"/>
    <w:rsid w:val="6D857233"/>
    <w:rsid w:val="6DC719BB"/>
    <w:rsid w:val="6DCB7043"/>
    <w:rsid w:val="6DCE790D"/>
    <w:rsid w:val="6DD8500F"/>
    <w:rsid w:val="6DE170C1"/>
    <w:rsid w:val="6DE6047A"/>
    <w:rsid w:val="6DE75EAE"/>
    <w:rsid w:val="6E407BC1"/>
    <w:rsid w:val="6E6103F0"/>
    <w:rsid w:val="6E6D5366"/>
    <w:rsid w:val="6E955FD2"/>
    <w:rsid w:val="6E9F6F08"/>
    <w:rsid w:val="6EA85A65"/>
    <w:rsid w:val="6EAE5FF2"/>
    <w:rsid w:val="6EAF49B8"/>
    <w:rsid w:val="6EB02B29"/>
    <w:rsid w:val="6EB03416"/>
    <w:rsid w:val="6EC10856"/>
    <w:rsid w:val="6EC17050"/>
    <w:rsid w:val="6ECA6065"/>
    <w:rsid w:val="6F183EC0"/>
    <w:rsid w:val="6F1919FD"/>
    <w:rsid w:val="6F2F21D2"/>
    <w:rsid w:val="6F4E1B8C"/>
    <w:rsid w:val="6F520783"/>
    <w:rsid w:val="6F6E72FE"/>
    <w:rsid w:val="6F794770"/>
    <w:rsid w:val="6F920773"/>
    <w:rsid w:val="6F953AE0"/>
    <w:rsid w:val="6FAB29C1"/>
    <w:rsid w:val="6FAC6462"/>
    <w:rsid w:val="6FCF46CA"/>
    <w:rsid w:val="6FD801E8"/>
    <w:rsid w:val="6FFA5178"/>
    <w:rsid w:val="70104A1C"/>
    <w:rsid w:val="705B312C"/>
    <w:rsid w:val="70743CE5"/>
    <w:rsid w:val="707A7FD4"/>
    <w:rsid w:val="70953C43"/>
    <w:rsid w:val="70AE7D7B"/>
    <w:rsid w:val="70B641CF"/>
    <w:rsid w:val="70C46500"/>
    <w:rsid w:val="70F50DEB"/>
    <w:rsid w:val="70F72094"/>
    <w:rsid w:val="70F81A7E"/>
    <w:rsid w:val="71014D66"/>
    <w:rsid w:val="710A7717"/>
    <w:rsid w:val="714E0245"/>
    <w:rsid w:val="718026F9"/>
    <w:rsid w:val="719140A2"/>
    <w:rsid w:val="71BE021A"/>
    <w:rsid w:val="71BE4C5A"/>
    <w:rsid w:val="71D5553A"/>
    <w:rsid w:val="71D856BE"/>
    <w:rsid w:val="71DC4607"/>
    <w:rsid w:val="71E421AA"/>
    <w:rsid w:val="71E77DDF"/>
    <w:rsid w:val="71EB6773"/>
    <w:rsid w:val="71EE38BA"/>
    <w:rsid w:val="72045447"/>
    <w:rsid w:val="720D07E3"/>
    <w:rsid w:val="72447B2C"/>
    <w:rsid w:val="724E6E6D"/>
    <w:rsid w:val="724E6EC5"/>
    <w:rsid w:val="727D675F"/>
    <w:rsid w:val="728859A9"/>
    <w:rsid w:val="729D1BB1"/>
    <w:rsid w:val="72A22A1E"/>
    <w:rsid w:val="72B8270C"/>
    <w:rsid w:val="72B85F8C"/>
    <w:rsid w:val="72C57F1E"/>
    <w:rsid w:val="72DB2820"/>
    <w:rsid w:val="72EA4B75"/>
    <w:rsid w:val="7318150D"/>
    <w:rsid w:val="733C5612"/>
    <w:rsid w:val="734120F2"/>
    <w:rsid w:val="7357034D"/>
    <w:rsid w:val="73933A9B"/>
    <w:rsid w:val="73A50FC7"/>
    <w:rsid w:val="73C84248"/>
    <w:rsid w:val="73D0517B"/>
    <w:rsid w:val="73FE5830"/>
    <w:rsid w:val="7408106C"/>
    <w:rsid w:val="740A5736"/>
    <w:rsid w:val="74581FD1"/>
    <w:rsid w:val="74664C02"/>
    <w:rsid w:val="74916454"/>
    <w:rsid w:val="74AA5C83"/>
    <w:rsid w:val="74CD5896"/>
    <w:rsid w:val="74F95D47"/>
    <w:rsid w:val="75031C2C"/>
    <w:rsid w:val="7506376C"/>
    <w:rsid w:val="751607EF"/>
    <w:rsid w:val="751B74EF"/>
    <w:rsid w:val="75264DCF"/>
    <w:rsid w:val="75682033"/>
    <w:rsid w:val="75C82473"/>
    <w:rsid w:val="75D556BE"/>
    <w:rsid w:val="75DC489F"/>
    <w:rsid w:val="75FA13EE"/>
    <w:rsid w:val="76152D64"/>
    <w:rsid w:val="76154950"/>
    <w:rsid w:val="761E2003"/>
    <w:rsid w:val="76236746"/>
    <w:rsid w:val="76255B63"/>
    <w:rsid w:val="76504519"/>
    <w:rsid w:val="765A2501"/>
    <w:rsid w:val="76897E06"/>
    <w:rsid w:val="76A352A5"/>
    <w:rsid w:val="76D2793F"/>
    <w:rsid w:val="76D7209C"/>
    <w:rsid w:val="76EB6614"/>
    <w:rsid w:val="76EC00A6"/>
    <w:rsid w:val="76EC477E"/>
    <w:rsid w:val="76FF2D73"/>
    <w:rsid w:val="77015B99"/>
    <w:rsid w:val="770A4EDC"/>
    <w:rsid w:val="77124475"/>
    <w:rsid w:val="77124AFF"/>
    <w:rsid w:val="771B0C97"/>
    <w:rsid w:val="77361223"/>
    <w:rsid w:val="77434EF7"/>
    <w:rsid w:val="774B2A9F"/>
    <w:rsid w:val="776158EB"/>
    <w:rsid w:val="77AB23F1"/>
    <w:rsid w:val="77AD5090"/>
    <w:rsid w:val="77C13386"/>
    <w:rsid w:val="77D9303C"/>
    <w:rsid w:val="77D942B0"/>
    <w:rsid w:val="77DB72D8"/>
    <w:rsid w:val="78160EFA"/>
    <w:rsid w:val="78167BF9"/>
    <w:rsid w:val="781A4175"/>
    <w:rsid w:val="782C7B34"/>
    <w:rsid w:val="78543280"/>
    <w:rsid w:val="788E7219"/>
    <w:rsid w:val="78A514A9"/>
    <w:rsid w:val="78B63D2C"/>
    <w:rsid w:val="78B74A7B"/>
    <w:rsid w:val="78D176CD"/>
    <w:rsid w:val="78DB7C3F"/>
    <w:rsid w:val="78E93B44"/>
    <w:rsid w:val="790450A6"/>
    <w:rsid w:val="79147398"/>
    <w:rsid w:val="797A2DB9"/>
    <w:rsid w:val="797B5531"/>
    <w:rsid w:val="798657D8"/>
    <w:rsid w:val="79B248D6"/>
    <w:rsid w:val="79BC79B1"/>
    <w:rsid w:val="79D613C8"/>
    <w:rsid w:val="7A224C26"/>
    <w:rsid w:val="7A372712"/>
    <w:rsid w:val="7A3E1551"/>
    <w:rsid w:val="7A5713FF"/>
    <w:rsid w:val="7A5B79CD"/>
    <w:rsid w:val="7A662416"/>
    <w:rsid w:val="7A6B51A5"/>
    <w:rsid w:val="7A763FE7"/>
    <w:rsid w:val="7A82544E"/>
    <w:rsid w:val="7A83507C"/>
    <w:rsid w:val="7A905722"/>
    <w:rsid w:val="7A9A2716"/>
    <w:rsid w:val="7AC953B9"/>
    <w:rsid w:val="7B2B57B3"/>
    <w:rsid w:val="7B38287B"/>
    <w:rsid w:val="7B3F45A4"/>
    <w:rsid w:val="7B503BC1"/>
    <w:rsid w:val="7B980BAF"/>
    <w:rsid w:val="7BA4643C"/>
    <w:rsid w:val="7BD03230"/>
    <w:rsid w:val="7BFB4047"/>
    <w:rsid w:val="7C350F24"/>
    <w:rsid w:val="7C3C3C52"/>
    <w:rsid w:val="7C5B4100"/>
    <w:rsid w:val="7C5C20D9"/>
    <w:rsid w:val="7C5D019E"/>
    <w:rsid w:val="7C916555"/>
    <w:rsid w:val="7CA343A7"/>
    <w:rsid w:val="7CA3770C"/>
    <w:rsid w:val="7CB151D9"/>
    <w:rsid w:val="7CB24697"/>
    <w:rsid w:val="7CB254E3"/>
    <w:rsid w:val="7CB8231D"/>
    <w:rsid w:val="7CBA7F5C"/>
    <w:rsid w:val="7CDC03DF"/>
    <w:rsid w:val="7D1E21A2"/>
    <w:rsid w:val="7D214EDB"/>
    <w:rsid w:val="7D4A79D6"/>
    <w:rsid w:val="7D5D072F"/>
    <w:rsid w:val="7D781413"/>
    <w:rsid w:val="7D7C6616"/>
    <w:rsid w:val="7D8C7ECA"/>
    <w:rsid w:val="7D952FC3"/>
    <w:rsid w:val="7DBE1E4F"/>
    <w:rsid w:val="7DBE58DA"/>
    <w:rsid w:val="7DBF004B"/>
    <w:rsid w:val="7DC8111D"/>
    <w:rsid w:val="7DF07E15"/>
    <w:rsid w:val="7E401E77"/>
    <w:rsid w:val="7E44326B"/>
    <w:rsid w:val="7E5C1392"/>
    <w:rsid w:val="7E6631DC"/>
    <w:rsid w:val="7E8A7B68"/>
    <w:rsid w:val="7EAA4B5B"/>
    <w:rsid w:val="7EAD1CFB"/>
    <w:rsid w:val="7EB93E5C"/>
    <w:rsid w:val="7ECF2B1F"/>
    <w:rsid w:val="7ED663A0"/>
    <w:rsid w:val="7EF16C0C"/>
    <w:rsid w:val="7F1D2A84"/>
    <w:rsid w:val="7F2362FA"/>
    <w:rsid w:val="7F2917EA"/>
    <w:rsid w:val="7F315BD1"/>
    <w:rsid w:val="7F424BF2"/>
    <w:rsid w:val="7F4370EF"/>
    <w:rsid w:val="7F652792"/>
    <w:rsid w:val="7F6F0210"/>
    <w:rsid w:val="7F8021F9"/>
    <w:rsid w:val="7F902702"/>
    <w:rsid w:val="7F994EE9"/>
    <w:rsid w:val="7F9A46E8"/>
    <w:rsid w:val="7FAB08A3"/>
    <w:rsid w:val="7FB051F4"/>
    <w:rsid w:val="7FC73D00"/>
    <w:rsid w:val="7FCA22F9"/>
    <w:rsid w:val="7FDA41D8"/>
    <w:rsid w:val="7FE2554A"/>
    <w:rsid w:val="7FF31FF6"/>
    <w:rsid w:val="B506FBF2"/>
    <w:rsid w:val="FAEF649E"/>
    <w:rsid w:val="FBD3F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line="0" w:lineRule="atLeast"/>
      <w:jc w:val="center"/>
      <w:outlineLvl w:val="1"/>
    </w:pPr>
    <w:rPr>
      <w:kern w:val="0"/>
      <w:sz w:val="28"/>
    </w:rPr>
  </w:style>
  <w:style w:type="paragraph" w:styleId="5">
    <w:name w:val="heading 3"/>
    <w:basedOn w:val="1"/>
    <w:next w:val="1"/>
    <w:qFormat/>
    <w:uiPriority w:val="0"/>
    <w:pPr>
      <w:outlineLvl w:val="2"/>
    </w:pPr>
    <w:rPr>
      <w:rFonts w:ascii="黑体" w:hAnsi="黑体" w:eastAsia="黑体"/>
      <w:sz w:val="30"/>
      <w:szCs w:val="30"/>
    </w:rPr>
  </w:style>
  <w:style w:type="paragraph" w:styleId="6">
    <w:name w:val="heading 4"/>
    <w:basedOn w:val="1"/>
    <w:next w:val="1"/>
    <w:qFormat/>
    <w:uiPriority w:val="0"/>
    <w:pPr>
      <w:keepNext/>
      <w:keepLines/>
      <w:spacing w:before="140" w:after="140" w:line="360" w:lineRule="auto"/>
      <w:jc w:val="left"/>
      <w:outlineLvl w:val="3"/>
    </w:pPr>
    <w:rPr>
      <w:rFonts w:ascii="Cambria" w:hAnsi="Cambria"/>
      <w:b/>
      <w:bCs/>
      <w:color w:val="000000"/>
      <w:szCs w:val="28"/>
    </w:rPr>
  </w:style>
  <w:style w:type="paragraph" w:styleId="7">
    <w:name w:val="heading 5"/>
    <w:basedOn w:val="1"/>
    <w:next w:val="1"/>
    <w:qFormat/>
    <w:uiPriority w:val="9"/>
    <w:pPr>
      <w:keepNext/>
      <w:keepLines/>
      <w:spacing w:before="280" w:after="290" w:line="376" w:lineRule="auto"/>
      <w:jc w:val="left"/>
      <w:outlineLvl w:val="4"/>
    </w:pPr>
    <w:rPr>
      <w:b/>
      <w:bCs/>
      <w:color w:val="00000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列表 21"/>
    <w:basedOn w:val="1"/>
    <w:qFormat/>
    <w:uiPriority w:val="0"/>
    <w:pPr>
      <w:suppressAutoHyphens/>
      <w:ind w:left="100" w:hanging="200"/>
    </w:pPr>
    <w:rPr>
      <w:kern w:val="1"/>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Document Map"/>
    <w:basedOn w:val="1"/>
    <w:link w:val="49"/>
    <w:qFormat/>
    <w:uiPriority w:val="0"/>
    <w:rPr>
      <w:sz w:val="18"/>
      <w:szCs w:val="18"/>
    </w:r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Body Text 2"/>
    <w:basedOn w:val="1"/>
    <w:next w:val="11"/>
    <w:qFormat/>
    <w:uiPriority w:val="0"/>
    <w:pPr>
      <w:spacing w:after="120" w:line="480" w:lineRule="auto"/>
    </w:pPr>
  </w:style>
  <w:style w:type="paragraph" w:styleId="13">
    <w:name w:val="Body Text Indent"/>
    <w:basedOn w:val="1"/>
    <w:next w:val="1"/>
    <w:qFormat/>
    <w:uiPriority w:val="0"/>
    <w:pPr>
      <w:ind w:firstLine="632" w:firstLineChars="200"/>
    </w:pPr>
    <w:rPr>
      <w:rFonts w:ascii="仿宋_GB2312" w:hAnsi="华文楷体" w:eastAsia="仿宋_GB2312"/>
      <w:sz w:val="32"/>
    </w:rPr>
  </w:style>
  <w:style w:type="paragraph" w:styleId="14">
    <w:name w:val="Plain Text"/>
    <w:basedOn w:val="1"/>
    <w:qFormat/>
    <w:uiPriority w:val="0"/>
    <w:rPr>
      <w:rFonts w:ascii="宋体" w:hAnsi="Courier New"/>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index heading"/>
    <w:basedOn w:val="1"/>
    <w:next w:val="20"/>
    <w:unhideWhenUsed/>
    <w:qFormat/>
    <w:uiPriority w:val="99"/>
    <w:rPr>
      <w:rFonts w:ascii="Cambria" w:hAnsi="Cambria" w:eastAsia="宋体" w:cs="Times New Roman"/>
      <w:b/>
      <w:bCs/>
    </w:rPr>
  </w:style>
  <w:style w:type="paragraph" w:styleId="20">
    <w:name w:val="index 1"/>
    <w:basedOn w:val="1"/>
    <w:next w:val="1"/>
    <w:unhideWhenUsed/>
    <w:qFormat/>
    <w:uiPriority w:val="99"/>
  </w:style>
  <w:style w:type="paragraph" w:styleId="21">
    <w:name w:val="footnote text"/>
    <w:basedOn w:val="1"/>
    <w:qFormat/>
    <w:uiPriority w:val="99"/>
    <w:pPr>
      <w:snapToGrid w:val="0"/>
      <w:jc w:val="left"/>
    </w:pPr>
    <w:rPr>
      <w:rFonts w:eastAsia="宋体"/>
      <w:sz w:val="18"/>
      <w:szCs w:val="18"/>
    </w:rPr>
  </w:style>
  <w:style w:type="paragraph" w:styleId="22">
    <w:name w:val="toc 2"/>
    <w:basedOn w:val="1"/>
    <w:next w:val="1"/>
    <w:qFormat/>
    <w:uiPriority w:val="39"/>
    <w:pPr>
      <w:autoSpaceDE w:val="0"/>
      <w:autoSpaceDN w:val="0"/>
      <w:ind w:left="320"/>
      <w:jc w:val="left"/>
    </w:pPr>
    <w:rPr>
      <w:rFonts w:ascii="Calibri" w:hAnsi="Calibri" w:cs="Calibri"/>
      <w:smallCaps/>
      <w:kern w:val="0"/>
      <w:sz w:val="20"/>
      <w:szCs w:val="22"/>
      <w:lang w:val="zh-CN" w:bidi="zh-CN"/>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24">
    <w:name w:val="Normal (Web)"/>
    <w:basedOn w:val="1"/>
    <w:qFormat/>
    <w:uiPriority w:val="0"/>
    <w:pPr>
      <w:widowControl/>
      <w:spacing w:before="100" w:beforeAutospacing="1" w:after="100" w:afterAutospacing="1"/>
    </w:pPr>
    <w:rPr>
      <w:rFonts w:ascii="宋体" w:hAnsi="宋体"/>
    </w:rPr>
  </w:style>
  <w:style w:type="paragraph" w:styleId="25">
    <w:name w:val="Title"/>
    <w:basedOn w:val="1"/>
    <w:qFormat/>
    <w:uiPriority w:val="0"/>
    <w:pPr>
      <w:adjustRightInd/>
      <w:spacing w:before="240" w:after="60" w:line="240" w:lineRule="auto"/>
      <w:jc w:val="center"/>
      <w:textAlignment w:val="auto"/>
      <w:outlineLvl w:val="0"/>
    </w:pPr>
    <w:rPr>
      <w:rFonts w:ascii="Arial" w:hAnsi="Arial"/>
      <w:b/>
      <w:bCs/>
      <w:kern w:val="2"/>
      <w:sz w:val="32"/>
      <w:szCs w:val="32"/>
    </w:rPr>
  </w:style>
  <w:style w:type="paragraph" w:styleId="26">
    <w:name w:val="Body Text First Indent"/>
    <w:basedOn w:val="11"/>
    <w:next w:val="1"/>
    <w:qFormat/>
    <w:uiPriority w:val="0"/>
    <w:pPr>
      <w:ind w:firstLine="420" w:firstLineChars="100"/>
    </w:pPr>
  </w:style>
  <w:style w:type="paragraph" w:styleId="27">
    <w:name w:val="Body Text First Indent 2"/>
    <w:basedOn w:val="13"/>
    <w:next w:val="1"/>
    <w:qFormat/>
    <w:uiPriority w:val="0"/>
    <w:pPr>
      <w:ind w:firstLine="42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kern w:val="1"/>
    </w:rPr>
  </w:style>
  <w:style w:type="character" w:styleId="32">
    <w:name w:val="page number"/>
    <w:basedOn w:val="30"/>
    <w:qFormat/>
    <w:uiPriority w:val="0"/>
    <w:rPr>
      <w:kern w:val="1"/>
    </w:rPr>
  </w:style>
  <w:style w:type="character" w:styleId="33">
    <w:name w:val="FollowedHyperlink"/>
    <w:qFormat/>
    <w:uiPriority w:val="0"/>
    <w:rPr>
      <w:color w:val="333333"/>
      <w:kern w:val="1"/>
      <w:u w:val="none"/>
    </w:rPr>
  </w:style>
  <w:style w:type="character" w:styleId="34">
    <w:name w:val="Emphasis"/>
    <w:qFormat/>
    <w:uiPriority w:val="0"/>
    <w:rPr>
      <w:kern w:val="1"/>
    </w:rPr>
  </w:style>
  <w:style w:type="character" w:styleId="35">
    <w:name w:val="HTML Definition"/>
    <w:qFormat/>
    <w:uiPriority w:val="0"/>
    <w:rPr>
      <w:kern w:val="1"/>
    </w:rPr>
  </w:style>
  <w:style w:type="character" w:styleId="36">
    <w:name w:val="HTML Typewriter"/>
    <w:qFormat/>
    <w:uiPriority w:val="0"/>
    <w:rPr>
      <w:rFonts w:hint="default" w:ascii="monospace" w:hAnsi="monospace" w:eastAsia="monospace" w:cs="monospace"/>
      <w:kern w:val="1"/>
      <w:sz w:val="20"/>
    </w:rPr>
  </w:style>
  <w:style w:type="character" w:styleId="37">
    <w:name w:val="HTML Acronym"/>
    <w:basedOn w:val="30"/>
    <w:qFormat/>
    <w:uiPriority w:val="0"/>
    <w:rPr>
      <w:kern w:val="1"/>
    </w:rPr>
  </w:style>
  <w:style w:type="character" w:styleId="38">
    <w:name w:val="HTML Variable"/>
    <w:qFormat/>
    <w:uiPriority w:val="0"/>
    <w:rPr>
      <w:kern w:val="1"/>
    </w:rPr>
  </w:style>
  <w:style w:type="character" w:styleId="39">
    <w:name w:val="Hyperlink"/>
    <w:basedOn w:val="30"/>
    <w:qFormat/>
    <w:uiPriority w:val="0"/>
    <w:rPr>
      <w:color w:val="333333"/>
      <w:kern w:val="1"/>
      <w:u w:val="none"/>
    </w:rPr>
  </w:style>
  <w:style w:type="character" w:styleId="40">
    <w:name w:val="HTML Code"/>
    <w:qFormat/>
    <w:uiPriority w:val="0"/>
    <w:rPr>
      <w:rFonts w:hint="default" w:ascii="monospace" w:hAnsi="monospace" w:eastAsia="monospace" w:cs="monospace"/>
      <w:kern w:val="1"/>
      <w:sz w:val="20"/>
    </w:rPr>
  </w:style>
  <w:style w:type="character" w:styleId="41">
    <w:name w:val="annotation reference"/>
    <w:basedOn w:val="30"/>
    <w:qFormat/>
    <w:uiPriority w:val="0"/>
    <w:rPr>
      <w:sz w:val="21"/>
      <w:szCs w:val="21"/>
    </w:rPr>
  </w:style>
  <w:style w:type="character" w:styleId="42">
    <w:name w:val="HTML Cite"/>
    <w:qFormat/>
    <w:uiPriority w:val="0"/>
    <w:rPr>
      <w:kern w:val="1"/>
    </w:rPr>
  </w:style>
  <w:style w:type="character" w:styleId="43">
    <w:name w:val="HTML Keyboard"/>
    <w:qFormat/>
    <w:uiPriority w:val="0"/>
    <w:rPr>
      <w:rFonts w:ascii="monospace" w:hAnsi="monospace" w:eastAsia="monospace" w:cs="monospace"/>
      <w:kern w:val="1"/>
      <w:sz w:val="20"/>
    </w:rPr>
  </w:style>
  <w:style w:type="character" w:styleId="44">
    <w:name w:val="HTML Sample"/>
    <w:qFormat/>
    <w:uiPriority w:val="0"/>
    <w:rPr>
      <w:rFonts w:hint="default" w:ascii="monospace" w:hAnsi="monospace" w:eastAsia="monospace" w:cs="monospace"/>
      <w:kern w:val="1"/>
    </w:rPr>
  </w:style>
  <w:style w:type="paragraph" w:customStyle="1" w:styleId="45">
    <w:name w:val="Default"/>
    <w:next w:val="19"/>
    <w:unhideWhenUsed/>
    <w:qFormat/>
    <w:uiPriority w:val="99"/>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46">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47">
    <w:name w:val="首行缩进"/>
    <w:basedOn w:val="1"/>
    <w:qFormat/>
    <w:uiPriority w:val="0"/>
    <w:pPr>
      <w:ind w:firstLine="480"/>
    </w:pPr>
    <w:rPr>
      <w:rFonts w:ascii="Arial" w:hAnsi="Arial"/>
      <w:lang w:val="zh-CN"/>
    </w:rPr>
  </w:style>
  <w:style w:type="paragraph" w:customStyle="1" w:styleId="48">
    <w:name w:val="正文1"/>
    <w:basedOn w:val="1"/>
    <w:qFormat/>
    <w:uiPriority w:val="0"/>
    <w:pPr>
      <w:adjustRightInd w:val="0"/>
      <w:spacing w:line="318" w:lineRule="atLeast"/>
      <w:ind w:left="369" w:firstLine="369"/>
      <w:textAlignment w:val="baseline"/>
    </w:pPr>
    <w:rPr>
      <w:rFonts w:ascii="宋体"/>
      <w:szCs w:val="20"/>
    </w:rPr>
  </w:style>
  <w:style w:type="character" w:customStyle="1" w:styleId="49">
    <w:name w:val="文档结构图 Char"/>
    <w:link w:val="9"/>
    <w:qFormat/>
    <w:uiPriority w:val="0"/>
    <w:rPr>
      <w:kern w:val="2"/>
      <w:sz w:val="18"/>
      <w:szCs w:val="18"/>
    </w:rPr>
  </w:style>
  <w:style w:type="character" w:customStyle="1" w:styleId="50">
    <w:name w:val="font01"/>
    <w:basedOn w:val="30"/>
    <w:qFormat/>
    <w:uiPriority w:val="0"/>
    <w:rPr>
      <w:rFonts w:hint="default" w:ascii="仿宋_GB2312" w:eastAsia="仿宋_GB2312" w:cs="仿宋_GB2312"/>
      <w:color w:val="0000FF"/>
      <w:kern w:val="1"/>
      <w:sz w:val="22"/>
      <w:szCs w:val="22"/>
      <w:u w:val="none"/>
    </w:rPr>
  </w:style>
  <w:style w:type="character" w:customStyle="1" w:styleId="51">
    <w:name w:val="font11"/>
    <w:basedOn w:val="30"/>
    <w:qFormat/>
    <w:uiPriority w:val="0"/>
    <w:rPr>
      <w:rFonts w:hint="eastAsia" w:ascii="宋体" w:hAnsi="宋体" w:eastAsia="宋体" w:cs="宋体"/>
      <w:color w:val="000000"/>
      <w:kern w:val="1"/>
      <w:sz w:val="24"/>
      <w:szCs w:val="24"/>
      <w:u w:val="none"/>
    </w:rPr>
  </w:style>
  <w:style w:type="character" w:customStyle="1" w:styleId="52">
    <w:name w:val="num10"/>
    <w:basedOn w:val="30"/>
    <w:qFormat/>
    <w:uiPriority w:val="0"/>
    <w:rPr>
      <w:b/>
      <w:color w:val="FF7800"/>
      <w:kern w:val="1"/>
    </w:rPr>
  </w:style>
  <w:style w:type="character" w:customStyle="1" w:styleId="53">
    <w:name w:val="release-day"/>
    <w:basedOn w:val="30"/>
    <w:qFormat/>
    <w:uiPriority w:val="0"/>
    <w:rPr>
      <w:kern w:val="1"/>
      <w:bdr w:val="single" w:color="BDEBB0" w:sz="4" w:space="0"/>
      <w:shd w:val="clear" w:color="auto" w:fill="F5FFF1"/>
    </w:rPr>
  </w:style>
  <w:style w:type="character" w:customStyle="1" w:styleId="54">
    <w:name w:val="num"/>
    <w:basedOn w:val="30"/>
    <w:qFormat/>
    <w:uiPriority w:val="0"/>
    <w:rPr>
      <w:b/>
      <w:color w:val="FF7800"/>
      <w:kern w:val="1"/>
    </w:rPr>
  </w:style>
  <w:style w:type="character" w:customStyle="1" w:styleId="55">
    <w:name w:val="answer-title12"/>
    <w:basedOn w:val="30"/>
    <w:qFormat/>
    <w:uiPriority w:val="0"/>
    <w:rPr>
      <w:kern w:val="1"/>
    </w:rPr>
  </w:style>
  <w:style w:type="paragraph" w:customStyle="1" w:styleId="56">
    <w:name w:val="*正文"/>
    <w:basedOn w:val="1"/>
    <w:qFormat/>
    <w:uiPriority w:val="0"/>
    <w:pPr>
      <w:spacing w:line="360" w:lineRule="auto"/>
      <w:ind w:firstLine="200" w:firstLineChars="200"/>
    </w:pPr>
    <w:rPr>
      <w:rFonts w:ascii="宋体" w:hAnsi="宋体"/>
    </w:rPr>
  </w:style>
  <w:style w:type="paragraph" w:customStyle="1" w:styleId="57">
    <w:name w:val="List Paragraph1"/>
    <w:basedOn w:val="1"/>
    <w:qFormat/>
    <w:uiPriority w:val="0"/>
    <w:pPr>
      <w:ind w:firstLine="420" w:firstLineChars="200"/>
    </w:pPr>
  </w:style>
  <w:style w:type="paragraph" w:customStyle="1" w:styleId="58">
    <w:name w:val="标题2-R"/>
    <w:basedOn w:val="4"/>
    <w:qFormat/>
    <w:uiPriority w:val="0"/>
    <w:pPr>
      <w:jc w:val="left"/>
    </w:pPr>
  </w:style>
  <w:style w:type="paragraph" w:customStyle="1" w:styleId="59">
    <w:name w:val="1"/>
    <w:basedOn w:val="1"/>
    <w:qFormat/>
    <w:uiPriority w:val="0"/>
  </w:style>
  <w:style w:type="paragraph" w:customStyle="1" w:styleId="60">
    <w:name w:val="p0"/>
    <w:basedOn w:val="1"/>
    <w:next w:val="61"/>
    <w:qFormat/>
    <w:uiPriority w:val="0"/>
    <w:pPr>
      <w:widowControl/>
    </w:pPr>
    <w:rPr>
      <w:rFonts w:ascii="Calibri" w:hAnsi="Calibri" w:cs="宋体"/>
      <w:kern w:val="0"/>
      <w:szCs w:val="21"/>
    </w:rPr>
  </w:style>
  <w:style w:type="paragraph" w:customStyle="1" w:styleId="61">
    <w:name w:val="Char Char1 Char Char"/>
    <w:next w:val="62"/>
    <w:qFormat/>
    <w:uiPriority w:val="0"/>
    <w:pPr>
      <w:widowControl/>
      <w:spacing w:after="160" w:line="240" w:lineRule="exact"/>
      <w:ind w:firstLine="3584"/>
    </w:pPr>
    <w:rPr>
      <w:rFonts w:ascii="Calibri" w:hAnsi="Calibri" w:eastAsia="Calibri" w:cs="Times New Roman"/>
      <w:sz w:val="22"/>
      <w:szCs w:val="22"/>
      <w:lang w:val="en-US" w:eastAsia="en-US" w:bidi="ar-SA"/>
    </w:rPr>
  </w:style>
  <w:style w:type="paragraph" w:customStyle="1" w:styleId="62">
    <w:name w:val="Char Char Char Char Char Char Char Char Char Char Char Char Char Char Char Char Char Char Char Char Char Char Char Char Char Char Char Char Char Char Char Char Char"/>
    <w:next w:val="63"/>
    <w:qFormat/>
    <w:uiPriority w:val="0"/>
    <w:pPr>
      <w:widowControl/>
      <w:spacing w:after="160" w:line="240" w:lineRule="exact"/>
      <w:ind w:firstLine="3584"/>
    </w:pPr>
    <w:rPr>
      <w:rFonts w:ascii="Calibri" w:hAnsi="Calibri" w:eastAsia="Calibri" w:cs="Times New Roman"/>
      <w:sz w:val="22"/>
      <w:szCs w:val="22"/>
      <w:lang w:val="en-US" w:eastAsia="en-US" w:bidi="ar-SA"/>
    </w:rPr>
  </w:style>
  <w:style w:type="paragraph" w:customStyle="1" w:styleId="63">
    <w:name w:val="正文 New"/>
    <w:next w:val="64"/>
    <w:qFormat/>
    <w:uiPriority w:val="0"/>
    <w:pPr>
      <w:widowControl w:val="0"/>
      <w:ind w:firstLine="1536"/>
      <w:jc w:val="both"/>
    </w:pPr>
    <w:rPr>
      <w:rFonts w:ascii="Times New Roman" w:hAnsi="Times New Roman" w:eastAsia="宋体" w:cs="Times New Roman"/>
      <w:sz w:val="21"/>
      <w:szCs w:val="22"/>
      <w:lang w:val="en-US" w:eastAsia="zh-CN" w:bidi="ar-SA"/>
    </w:rPr>
  </w:style>
  <w:style w:type="paragraph" w:customStyle="1" w:styleId="64">
    <w:name w:val="表头"/>
    <w:next w:val="1"/>
    <w:qFormat/>
    <w:uiPriority w:val="0"/>
    <w:pPr>
      <w:widowControl w:val="0"/>
      <w:autoSpaceDE w:val="0"/>
      <w:autoSpaceDN w:val="0"/>
      <w:spacing w:before="156"/>
      <w:ind w:firstLine="3584"/>
      <w:jc w:val="center"/>
    </w:pPr>
    <w:rPr>
      <w:rFonts w:ascii="Calibri" w:hAnsi="Calibri" w:eastAsia="Calibri" w:cs="Times New Roman"/>
      <w:sz w:val="22"/>
      <w:szCs w:val="22"/>
      <w:lang w:val="en-US" w:eastAsia="en-US" w:bidi="ar-SA"/>
    </w:rPr>
  </w:style>
  <w:style w:type="paragraph" w:customStyle="1" w:styleId="65">
    <w:name w:val="标题4-R"/>
    <w:basedOn w:val="6"/>
    <w:qFormat/>
    <w:uiPriority w:val="0"/>
    <w:pPr>
      <w:spacing w:before="200" w:after="200"/>
    </w:pPr>
    <w:rPr>
      <w:rFonts w:ascii="宋体" w:hAnsi="宋体"/>
    </w:rPr>
  </w:style>
  <w:style w:type="paragraph" w:customStyle="1" w:styleId="66">
    <w:name w:val="默认段落字体 Para Char Char Char Char Char Char Char Char Char Char"/>
    <w:basedOn w:val="1"/>
    <w:qFormat/>
    <w:uiPriority w:val="0"/>
    <w:pPr>
      <w:tabs>
        <w:tab w:val="right" w:pos="-2120"/>
      </w:tabs>
    </w:pPr>
    <w:rPr>
      <w:kern w:val="1"/>
    </w:rPr>
  </w:style>
  <w:style w:type="paragraph" w:customStyle="1" w:styleId="67">
    <w:name w:val="Char Char Char1 Char8"/>
    <w:basedOn w:val="1"/>
    <w:qFormat/>
    <w:uiPriority w:val="0"/>
    <w:pPr>
      <w:adjustRightInd w:val="0"/>
      <w:spacing w:line="360" w:lineRule="auto"/>
      <w:ind w:firstLine="200" w:firstLineChars="200"/>
      <w:jc w:val="left"/>
    </w:pPr>
    <w:rPr>
      <w:rFonts w:ascii="宋体" w:hAnsi="宋体" w:eastAsia="Times New Roman"/>
      <w:kern w:val="0"/>
      <w:sz w:val="24"/>
      <w:szCs w:val="20"/>
    </w:rPr>
  </w:style>
  <w:style w:type="paragraph" w:styleId="68">
    <w:name w:val="List Paragraph"/>
    <w:basedOn w:val="1"/>
    <w:qFormat/>
    <w:uiPriority w:val="34"/>
    <w:pPr>
      <w:ind w:firstLine="420" w:firstLineChars="200"/>
    </w:pPr>
  </w:style>
  <w:style w:type="paragraph" w:customStyle="1" w:styleId="69">
    <w:name w:val="标题3-R"/>
    <w:basedOn w:val="5"/>
    <w:qFormat/>
    <w:uiPriority w:val="0"/>
  </w:style>
  <w:style w:type="paragraph" w:customStyle="1" w:styleId="70">
    <w:name w:val="Body Text First Indent1"/>
    <w:basedOn w:val="11"/>
    <w:qFormat/>
    <w:uiPriority w:val="0"/>
    <w:pPr>
      <w:ind w:firstLine="420" w:firstLineChars="100"/>
    </w:pPr>
  </w:style>
  <w:style w:type="paragraph" w:customStyle="1" w:styleId="71">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72">
    <w:name w:val="列出段落1"/>
    <w:basedOn w:val="1"/>
    <w:qFormat/>
    <w:uiPriority w:val="0"/>
    <w:pPr>
      <w:ind w:firstLine="420" w:firstLineChars="200"/>
    </w:pPr>
    <w:rPr>
      <w:rFonts w:ascii="Calibri" w:hAnsi="Calibri"/>
    </w:rPr>
  </w:style>
  <w:style w:type="paragraph" w:customStyle="1" w:styleId="73">
    <w:name w:val="标题5-R"/>
    <w:basedOn w:val="7"/>
    <w:qFormat/>
    <w:uiPriority w:val="0"/>
    <w:pPr>
      <w:numPr>
        <w:ilvl w:val="4"/>
        <w:numId w:val="1"/>
      </w:numPr>
      <w:spacing w:before="200" w:after="200" w:line="360" w:lineRule="auto"/>
    </w:pPr>
    <w:rPr>
      <w:sz w:val="24"/>
    </w:rPr>
  </w:style>
  <w:style w:type="paragraph" w:customStyle="1" w:styleId="74">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75">
    <w:name w:val="+正文"/>
    <w:basedOn w:val="1"/>
    <w:qFormat/>
    <w:uiPriority w:val="0"/>
    <w:pPr>
      <w:adjustRightInd w:val="0"/>
      <w:spacing w:line="360" w:lineRule="auto"/>
      <w:textAlignment w:val="baseline"/>
    </w:pPr>
    <w:rPr>
      <w:szCs w:val="28"/>
    </w:rPr>
  </w:style>
  <w:style w:type="paragraph" w:customStyle="1" w:styleId="76">
    <w:name w:val="标题 #2"/>
    <w:basedOn w:val="1"/>
    <w:qFormat/>
    <w:uiPriority w:val="0"/>
    <w:pPr>
      <w:shd w:val="clear" w:color="auto" w:fill="FFFFFF"/>
      <w:spacing w:after="540" w:line="0" w:lineRule="atLeast"/>
      <w:ind w:left="992" w:hanging="567"/>
      <w:outlineLvl w:val="1"/>
    </w:pPr>
    <w:rPr>
      <w:rFonts w:ascii="MingLiU" w:hAnsi="MingLiU" w:eastAsia="MingLiU" w:cs="MingLiU"/>
      <w:sz w:val="44"/>
      <w:szCs w:val="44"/>
    </w:rPr>
  </w:style>
  <w:style w:type="character" w:customStyle="1" w:styleId="77">
    <w:name w:val="hover17"/>
    <w:basedOn w:val="30"/>
    <w:qFormat/>
    <w:uiPriority w:val="0"/>
  </w:style>
  <w:style w:type="paragraph" w:customStyle="1" w:styleId="78">
    <w:name w:val="无间隔1"/>
    <w:basedOn w:val="1"/>
    <w:qFormat/>
    <w:uiPriority w:val="0"/>
    <w:pPr>
      <w:spacing w:line="400" w:lineRule="exact"/>
    </w:pPr>
    <w:rPr>
      <w:rFonts w:eastAsia="宋体"/>
      <w:sz w:val="24"/>
    </w:rPr>
  </w:style>
  <w:style w:type="character" w:customStyle="1" w:styleId="79">
    <w:name w:val="无"/>
    <w:qFormat/>
    <w:uiPriority w:val="99"/>
  </w:style>
  <w:style w:type="character" w:customStyle="1" w:styleId="80">
    <w:name w:val="Hyperlink.2"/>
    <w:qFormat/>
    <w:uiPriority w:val="99"/>
    <w:rPr>
      <w:lang w:val="en-US"/>
    </w:rPr>
  </w:style>
  <w:style w:type="paragraph" w:customStyle="1" w:styleId="81">
    <w:name w:val="Table Paragraph"/>
    <w:basedOn w:val="1"/>
    <w:qFormat/>
    <w:uiPriority w:val="1"/>
    <w:pPr>
      <w:spacing w:line="360" w:lineRule="auto"/>
      <w:ind w:firstLine="200" w:firstLineChars="200"/>
    </w:pPr>
    <w:rPr>
      <w:rFonts w:ascii="宋体" w:hAnsi="Calibri" w:cs="Times New Roman"/>
      <w:sz w:val="24"/>
    </w:rPr>
  </w:style>
  <w:style w:type="character" w:customStyle="1" w:styleId="82">
    <w:name w:val="18"/>
    <w:basedOn w:val="30"/>
    <w:qFormat/>
    <w:uiPriority w:val="0"/>
    <w:rPr>
      <w:rFonts w:hint="eastAsia" w:ascii="宋体" w:hAnsi="宋体" w:eastAsia="宋体" w:cs="宋体"/>
      <w:color w:val="000000"/>
      <w:sz w:val="24"/>
      <w:szCs w:val="24"/>
    </w:rPr>
  </w:style>
  <w:style w:type="character" w:customStyle="1" w:styleId="83">
    <w:name w:val="17"/>
    <w:basedOn w:val="30"/>
    <w:qFormat/>
    <w:uiPriority w:val="0"/>
    <w:rPr>
      <w:rFonts w:hint="eastAsia" w:ascii="宋体" w:hAnsi="宋体" w:eastAsia="宋体" w:cs="宋体"/>
      <w:b/>
      <w:color w:val="000000"/>
      <w:sz w:val="24"/>
      <w:szCs w:val="24"/>
    </w:rPr>
  </w:style>
  <w:style w:type="character" w:customStyle="1" w:styleId="84">
    <w:name w:val="16"/>
    <w:basedOn w:val="30"/>
    <w:qFormat/>
    <w:uiPriority w:val="0"/>
    <w:rPr>
      <w:rFonts w:hint="eastAsia" w:ascii="宋体" w:hAnsi="宋体" w:eastAsia="宋体" w:cs="宋体"/>
      <w:color w:val="000000"/>
      <w:sz w:val="20"/>
      <w:szCs w:val="20"/>
    </w:rPr>
  </w:style>
  <w:style w:type="character" w:customStyle="1" w:styleId="85">
    <w:name w:val="hover15"/>
    <w:basedOn w:val="30"/>
    <w:qFormat/>
    <w:uiPriority w:val="0"/>
  </w:style>
  <w:style w:type="character" w:customStyle="1" w:styleId="86">
    <w:name w:val="font21"/>
    <w:basedOn w:val="30"/>
    <w:qFormat/>
    <w:uiPriority w:val="0"/>
    <w:rPr>
      <w:rFonts w:hint="eastAsia" w:ascii="宋体" w:hAnsi="宋体" w:eastAsia="宋体" w:cs="宋体"/>
      <w:color w:val="000000"/>
      <w:sz w:val="24"/>
      <w:szCs w:val="24"/>
      <w:u w:val="none"/>
    </w:rPr>
  </w:style>
  <w:style w:type="character" w:customStyle="1" w:styleId="87">
    <w:name w:val="font91"/>
    <w:basedOn w:val="30"/>
    <w:qFormat/>
    <w:uiPriority w:val="0"/>
    <w:rPr>
      <w:rFonts w:hint="eastAsia" w:ascii="宋体" w:hAnsi="宋体" w:eastAsia="宋体" w:cs="宋体"/>
      <w:color w:val="FF0000"/>
      <w:sz w:val="22"/>
      <w:szCs w:val="22"/>
      <w:u w:val="none"/>
    </w:rPr>
  </w:style>
  <w:style w:type="character" w:customStyle="1" w:styleId="88">
    <w:name w:val="font51"/>
    <w:basedOn w:val="30"/>
    <w:qFormat/>
    <w:uiPriority w:val="0"/>
    <w:rPr>
      <w:rFonts w:hint="eastAsia" w:ascii="宋体" w:hAnsi="宋体" w:eastAsia="宋体" w:cs="宋体"/>
      <w:color w:val="000000"/>
      <w:sz w:val="21"/>
      <w:szCs w:val="21"/>
      <w:u w:val="none"/>
    </w:rPr>
  </w:style>
  <w:style w:type="character" w:customStyle="1" w:styleId="89">
    <w:name w:val="font41"/>
    <w:basedOn w:val="30"/>
    <w:qFormat/>
    <w:uiPriority w:val="0"/>
    <w:rPr>
      <w:rFonts w:hint="eastAsia" w:ascii="宋体" w:hAnsi="宋体" w:eastAsia="宋体" w:cs="宋体"/>
      <w:color w:val="000000"/>
      <w:sz w:val="22"/>
      <w:szCs w:val="22"/>
      <w:u w:val="none"/>
    </w:rPr>
  </w:style>
  <w:style w:type="character" w:customStyle="1" w:styleId="90">
    <w:name w:val="font61"/>
    <w:basedOn w:val="30"/>
    <w:qFormat/>
    <w:uiPriority w:val="0"/>
    <w:rPr>
      <w:rFonts w:hint="eastAsia" w:ascii="宋体" w:hAnsi="宋体" w:eastAsia="宋体" w:cs="宋体"/>
      <w:color w:val="000000"/>
      <w:sz w:val="20"/>
      <w:szCs w:val="20"/>
      <w:u w:val="none"/>
    </w:rPr>
  </w:style>
  <w:style w:type="character" w:customStyle="1" w:styleId="91">
    <w:name w:val="font71"/>
    <w:basedOn w:val="30"/>
    <w:qFormat/>
    <w:uiPriority w:val="0"/>
    <w:rPr>
      <w:rFonts w:hint="eastAsia" w:ascii="宋体" w:hAnsi="宋体" w:eastAsia="宋体" w:cs="宋体"/>
      <w:color w:val="FF0000"/>
      <w:sz w:val="22"/>
      <w:szCs w:val="22"/>
      <w:u w:val="none"/>
    </w:rPr>
  </w:style>
  <w:style w:type="character" w:customStyle="1" w:styleId="92">
    <w:name w:val="font31"/>
    <w:basedOn w:val="30"/>
    <w:qFormat/>
    <w:uiPriority w:val="0"/>
    <w:rPr>
      <w:rFonts w:hint="eastAsia" w:ascii="宋体" w:hAnsi="宋体" w:eastAsia="宋体" w:cs="宋体"/>
      <w:color w:val="000000"/>
      <w:sz w:val="21"/>
      <w:szCs w:val="21"/>
      <w:u w:val="none"/>
    </w:rPr>
  </w:style>
  <w:style w:type="character" w:customStyle="1" w:styleId="93">
    <w:name w:val="hover"/>
    <w:basedOn w:val="30"/>
    <w:qFormat/>
    <w:uiPriority w:val="0"/>
    <w:rPr>
      <w:color w:val="2590EB"/>
      <w:shd w:val="clear" w:fill="E9F4FD"/>
    </w:rPr>
  </w:style>
  <w:style w:type="character" w:customStyle="1" w:styleId="94">
    <w:name w:val="hover1"/>
    <w:basedOn w:val="30"/>
    <w:qFormat/>
    <w:uiPriority w:val="0"/>
    <w:rPr>
      <w:color w:val="2590EB"/>
    </w:rPr>
  </w:style>
  <w:style w:type="character" w:customStyle="1" w:styleId="95">
    <w:name w:val="hover2"/>
    <w:basedOn w:val="30"/>
    <w:qFormat/>
    <w:uiPriority w:val="0"/>
    <w:rPr>
      <w:color w:val="2590EB"/>
    </w:rPr>
  </w:style>
  <w:style w:type="character" w:customStyle="1" w:styleId="96">
    <w:name w:val="hover3"/>
    <w:basedOn w:val="30"/>
    <w:qFormat/>
    <w:uiPriority w:val="0"/>
  </w:style>
  <w:style w:type="character" w:customStyle="1" w:styleId="97">
    <w:name w:val="mini-outputtext1"/>
    <w:basedOn w:val="30"/>
    <w:qFormat/>
    <w:uiPriority w:val="0"/>
  </w:style>
  <w:style w:type="character" w:customStyle="1" w:styleId="98">
    <w:name w:val="hover16"/>
    <w:basedOn w:val="30"/>
    <w:qFormat/>
    <w:uiPriority w:val="0"/>
  </w:style>
  <w:style w:type="character" w:customStyle="1" w:styleId="99">
    <w:name w:val="fontborder"/>
    <w:basedOn w:val="30"/>
    <w:qFormat/>
    <w:uiPriority w:val="0"/>
    <w:rPr>
      <w:u w:val="single"/>
      <w:bdr w:val="single" w:color="000000" w:sz="6" w:space="0"/>
    </w:rPr>
  </w:style>
  <w:style w:type="character" w:customStyle="1" w:styleId="100">
    <w:name w:val="fontstrikethrough"/>
    <w:basedOn w:val="30"/>
    <w:qFormat/>
    <w:uiPriority w:val="0"/>
    <w:rPr>
      <w:strike/>
    </w:rPr>
  </w:style>
  <w:style w:type="character" w:customStyle="1" w:styleId="101">
    <w:name w:val="font121"/>
    <w:basedOn w:val="30"/>
    <w:unhideWhenUsed/>
    <w:qFormat/>
    <w:uiPriority w:val="0"/>
    <w:rPr>
      <w:rFonts w:hint="default" w:ascii="Times New Roman" w:hAnsi="Times New Roman" w:eastAsia="宋体" w:cs="Times New Roman"/>
      <w:color w:val="000000"/>
      <w:sz w:val="14"/>
      <w:szCs w:val="14"/>
    </w:rPr>
  </w:style>
  <w:style w:type="character" w:customStyle="1" w:styleId="102">
    <w:name w:val="font112"/>
    <w:basedOn w:val="30"/>
    <w:qFormat/>
    <w:uiPriority w:val="0"/>
    <w:rPr>
      <w:rFonts w:hint="eastAsia" w:ascii="宋体" w:hAnsi="宋体" w:eastAsia="宋体" w:cs="宋体"/>
      <w:color w:val="FF0000"/>
      <w:sz w:val="20"/>
      <w:szCs w:val="20"/>
      <w:u w:val="none"/>
    </w:rPr>
  </w:style>
  <w:style w:type="character" w:customStyle="1" w:styleId="103">
    <w:name w:val="font101"/>
    <w:basedOn w:val="30"/>
    <w:unhideWhenUsed/>
    <w:qFormat/>
    <w:uiPriority w:val="0"/>
    <w:rPr>
      <w:rFonts w:hint="default" w:ascii="Times New Roman" w:hAnsi="Times New Roman" w:eastAsia="宋体" w:cs="Times New Roman"/>
      <w:color w:val="000000"/>
      <w:sz w:val="14"/>
      <w:szCs w:val="14"/>
    </w:rPr>
  </w:style>
  <w:style w:type="character" w:customStyle="1" w:styleId="104">
    <w:name w:val="font81"/>
    <w:basedOn w:val="30"/>
    <w:unhideWhenUsed/>
    <w:qFormat/>
    <w:uiPriority w:val="0"/>
    <w:rPr>
      <w:rFonts w:hint="eastAsia" w:ascii="宋体" w:hAnsi="宋体" w:eastAsia="宋体" w:cs="宋体"/>
      <w:color w:val="000000"/>
      <w:sz w:val="20"/>
      <w:szCs w:val="20"/>
    </w:rPr>
  </w:style>
  <w:style w:type="paragraph" w:customStyle="1" w:styleId="105">
    <w:name w:val="正文文本1"/>
    <w:basedOn w:val="1"/>
    <w:link w:val="106"/>
    <w:unhideWhenUsed/>
    <w:qFormat/>
    <w:uiPriority w:val="99"/>
    <w:pPr>
      <w:shd w:val="clear" w:color="auto" w:fill="FFFFFF"/>
      <w:spacing w:beforeLines="0" w:afterLines="0" w:line="374" w:lineRule="auto"/>
      <w:ind w:firstLine="400"/>
    </w:pPr>
    <w:rPr>
      <w:rFonts w:hint="eastAsia" w:ascii="MingLiU" w:hAnsi="MingLiU" w:eastAsia="MingLiU"/>
      <w:sz w:val="30"/>
      <w:szCs w:val="24"/>
      <w:lang w:val="zh-CN" w:eastAsia="zh-CN"/>
    </w:rPr>
  </w:style>
  <w:style w:type="character" w:customStyle="1" w:styleId="106">
    <w:name w:val="正文文本_"/>
    <w:basedOn w:val="30"/>
    <w:link w:val="105"/>
    <w:unhideWhenUsed/>
    <w:qFormat/>
    <w:uiPriority w:val="99"/>
    <w:rPr>
      <w:rFonts w:hint="eastAsia" w:ascii="MingLiU" w:hAnsi="MingLiU" w:eastAsia="MingLiU"/>
      <w:sz w:val="30"/>
      <w:szCs w:val="24"/>
      <w:lang w:val="zh-CN" w:eastAsia="zh-CN"/>
    </w:rPr>
  </w:style>
  <w:style w:type="character" w:customStyle="1" w:styleId="107">
    <w:name w:val="hover4"/>
    <w:basedOn w:val="30"/>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25822</Words>
  <Characters>27520</Characters>
  <Lines>171</Lines>
  <Paragraphs>48</Paragraphs>
  <TotalTime>29</TotalTime>
  <ScaleCrop>false</ScaleCrop>
  <LinksUpToDate>false</LinksUpToDate>
  <CharactersWithSpaces>29465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2020-03-25T16:03:00Z</dcterms:created>
  <dc:creator>微软用户</dc:creator>
  <cp:lastModifiedBy>欧米爸爸</cp:lastModifiedBy>
  <cp:lastPrinted>2022-04-20T09:37:00Z</cp:lastPrinted>
  <dcterms:modified xsi:type="dcterms:W3CDTF">2022-09-09T09:22:30Z</dcterms:modified>
  <dc:title>参数</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28058B4EB5B141C69924ED1634D5598D</vt:lpwstr>
  </property>
</Properties>
</file>