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焦作市体育运动学校购买营养品项目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竞争性磋商公告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项目概况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焦作市体育运动学校购买营养品项目</w:t>
      </w:r>
      <w:r>
        <w:rPr>
          <w:rFonts w:hint="eastAsia" w:ascii="宋体" w:hAnsi="宋体" w:cs="宋体"/>
          <w:color w:val="000000"/>
          <w:sz w:val="24"/>
          <w:highlight w:val="none"/>
        </w:rPr>
        <w:t>的潜在供应商应在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</w:t>
      </w:r>
      <w:r>
        <w:rPr>
          <w:rFonts w:hint="eastAsia" w:ascii="宋体" w:hAnsi="宋体" w:cs="宋体"/>
          <w:color w:val="000000"/>
          <w:sz w:val="24"/>
          <w:highlight w:val="none"/>
        </w:rPr>
        <w:t>获取采购文件，并于</w:t>
      </w:r>
      <w:r>
        <w:rPr>
          <w:rFonts w:hint="eastAsia" w:ascii="宋体" w:hAnsi="宋体" w:cs="宋体"/>
          <w:color w:val="000000"/>
          <w:sz w:val="24"/>
          <w:highlight w:val="none"/>
        </w:rPr>
        <w:t>2022年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000000"/>
          <w:sz w:val="24"/>
          <w:highlight w:val="none"/>
        </w:rPr>
        <w:t>日9时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000000"/>
          <w:sz w:val="24"/>
          <w:highlight w:val="none"/>
        </w:rPr>
        <w:t>分</w:t>
      </w:r>
      <w:r>
        <w:rPr>
          <w:rFonts w:hint="eastAsia" w:ascii="宋体" w:hAnsi="宋体" w:cs="宋体"/>
          <w:color w:val="000000"/>
          <w:sz w:val="24"/>
          <w:highlight w:val="none"/>
        </w:rPr>
        <w:t>（北京时间）前提交响应文件。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一、项目基本情况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1.项目编号：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XBJZ【2022】033号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2.项目名称：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焦作市体育运动学校购买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营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养品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项目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3.采购方式：竞争性磋商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4.预算金额：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129500.00</w:t>
      </w:r>
      <w:r>
        <w:rPr>
          <w:rFonts w:hint="eastAsia" w:ascii="宋体" w:hAnsi="宋体" w:cs="宋体"/>
          <w:color w:val="000000"/>
          <w:sz w:val="24"/>
          <w:highlight w:val="none"/>
        </w:rPr>
        <w:t>元</w:t>
      </w:r>
    </w:p>
    <w:tbl>
      <w:tblPr>
        <w:tblStyle w:val="4"/>
        <w:tblW w:w="8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950"/>
        <w:gridCol w:w="2070"/>
        <w:gridCol w:w="1470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pStyle w:val="6"/>
              <w:spacing w:before="25"/>
              <w:ind w:left="120" w:right="114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6"/>
              <w:spacing w:before="25"/>
              <w:ind w:left="566" w:right="561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包号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6"/>
              <w:spacing w:before="25"/>
              <w:ind w:left="356" w:right="35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包名称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6"/>
              <w:spacing w:before="25"/>
              <w:ind w:left="128" w:right="12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包预算（元）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6"/>
              <w:spacing w:before="25"/>
              <w:ind w:left="130" w:right="124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包最高限价（元）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pStyle w:val="6"/>
              <w:spacing w:line="267" w:lineRule="exact"/>
              <w:ind w:left="356" w:right="35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6"/>
              <w:spacing w:line="267" w:lineRule="exact"/>
              <w:ind w:left="356" w:right="35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XBJZ【2022】033号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6"/>
              <w:spacing w:line="267" w:lineRule="exact"/>
              <w:ind w:left="356" w:right="350"/>
              <w:jc w:val="center"/>
              <w:rPr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焦作市体育运动学校购买营养品项目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6"/>
              <w:spacing w:before="153"/>
              <w:ind w:left="128" w:right="119"/>
              <w:jc w:val="center"/>
              <w:rPr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129500.00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6"/>
              <w:spacing w:before="153"/>
              <w:ind w:left="130" w:right="120"/>
              <w:jc w:val="center"/>
              <w:rPr>
                <w:sz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129500.00</w:t>
            </w:r>
          </w:p>
        </w:tc>
      </w:tr>
    </w:tbl>
    <w:p>
      <w:pPr>
        <w:pStyle w:val="2"/>
        <w:rPr>
          <w:rFonts w:hint="eastAsia"/>
          <w:highlight w:val="none"/>
        </w:rPr>
      </w:pP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采购需求（包括但不限于标的的名称、数量、简要技术需求或服务要求等）：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采购内容：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购买营养品一批（内容详见第三章采购需求）；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 xml:space="preserve">）交货期：自合同签订且生效后 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日历天内完成交货。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）交货地点：货物送到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指定位置。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）质量保证期：自验收合格之日起 1 年。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6.合同履行期限：合同签订且生效至质保期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满。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  <w:highlight w:val="none"/>
        </w:rPr>
        <w:t>.本项目是否接受联合体投标：否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二、申请人资格要求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1.满足《中华人民共和国政府采购法》第二十二条规定；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2.落实政府采购政策满足的资格要求：促进中小企业和监狱企业发展扶持政策、促进残疾人就业政府采购政策。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3.本项目的特定资格要求：</w:t>
      </w:r>
    </w:p>
    <w:p>
      <w:pPr>
        <w:spacing w:line="360" w:lineRule="auto"/>
        <w:ind w:firstLine="480" w:firstLineChars="200"/>
        <w:rPr>
          <w:rFonts w:hint="eastAsia" w:ascii="宋体" w:hAnsi="宋体" w:cs="仿宋"/>
          <w:color w:val="000000"/>
          <w:sz w:val="24"/>
          <w:highlight w:val="none"/>
        </w:rPr>
      </w:pPr>
      <w:r>
        <w:rPr>
          <w:rFonts w:hint="eastAsia" w:ascii="宋体" w:hAnsi="宋体" w:cs="仿宋"/>
          <w:color w:val="000000"/>
          <w:sz w:val="24"/>
          <w:highlight w:val="none"/>
        </w:rPr>
        <w:t>3.1供应商须具有独立法人资格，具备有效期范围内的企业营业执照，并在人员、设备、资金等方面具有相应的服务能力；</w:t>
      </w:r>
    </w:p>
    <w:p>
      <w:pPr>
        <w:spacing w:line="360" w:lineRule="auto"/>
        <w:ind w:firstLine="480" w:firstLineChars="200"/>
        <w:rPr>
          <w:rFonts w:hint="default" w:ascii="宋体" w:hAnsi="宋体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仿宋"/>
          <w:color w:val="000000"/>
          <w:sz w:val="24"/>
          <w:highlight w:val="none"/>
          <w:lang w:val="en-US" w:eastAsia="zh-CN"/>
        </w:rPr>
        <w:t>3.2</w:t>
      </w:r>
      <w:r>
        <w:rPr>
          <w:rFonts w:hint="eastAsia" w:ascii="宋体" w:hAnsi="宋体" w:cs="仿宋"/>
          <w:color w:val="000000"/>
          <w:sz w:val="24"/>
          <w:highlight w:val="none"/>
          <w:lang w:val="zh-CN" w:eastAsia="zh-CN"/>
        </w:rPr>
        <w:t>供应商所投产品提供由国家反兴奋剂中心出具的该产品2021 年或 2022 年兴奋剂检测报告复印件；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仿宋"/>
          <w:color w:val="000000"/>
          <w:sz w:val="24"/>
          <w:highlight w:val="none"/>
        </w:rPr>
        <w:t>3.</w:t>
      </w:r>
      <w:r>
        <w:rPr>
          <w:rFonts w:hint="eastAsia" w:ascii="宋体" w:hAnsi="宋体" w:cs="仿宋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仿宋"/>
          <w:color w:val="000000"/>
          <w:sz w:val="24"/>
          <w:highlight w:val="none"/>
        </w:rPr>
        <w:t>按照《财政部关于在政府采购活动中查询及使用信用记录有关问题的通知》（财库〔2016〕125号）的要求，根据</w:t>
      </w:r>
      <w:r>
        <w:rPr>
          <w:rFonts w:hint="eastAsia" w:ascii="宋体" w:hAnsi="宋体" w:cs="仿宋"/>
          <w:color w:val="000000"/>
          <w:sz w:val="24"/>
          <w:highlight w:val="none"/>
          <w:lang w:eastAsia="zh-CN"/>
        </w:rPr>
        <w:t>谈判</w:t>
      </w:r>
      <w:r>
        <w:rPr>
          <w:rFonts w:hint="eastAsia" w:ascii="宋体" w:hAnsi="宋体" w:cs="仿宋"/>
          <w:color w:val="000000"/>
          <w:sz w:val="24"/>
          <w:highlight w:val="none"/>
        </w:rPr>
        <w:t>会日“信用中国”网站（www.creditchina.gov.cn）、中国政府采购网（www.ccgp.gov.cn）的信息，对列入失信被执行人、重大税收违法案件当事人名单、政府采购严重违法失信行为记录名单的供应商，拒绝参与政府采购活动，同时对信用信息查询记录和证据进行打印存档</w:t>
      </w:r>
      <w:r>
        <w:rPr>
          <w:rFonts w:hint="eastAsia" w:ascii="宋体" w:hAnsi="宋体" w:cs="仿宋"/>
          <w:color w:val="000000"/>
          <w:sz w:val="24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获取采购文件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1.时间：2022年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  <w:highlight w:val="none"/>
        </w:rPr>
        <w:t>日至2022年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color w:val="000000"/>
          <w:sz w:val="24"/>
          <w:highlight w:val="none"/>
        </w:rPr>
        <w:t>日，每天上午8：30至12:00，下午15:00至17：30（北京时间，法定节假日除外）；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2.地点：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焦作市山阳区长恩路1530号商铺二楼</w:t>
      </w:r>
      <w:r>
        <w:rPr>
          <w:rFonts w:hint="eastAsia" w:ascii="宋体" w:hAnsi="宋体" w:cs="宋体"/>
          <w:color w:val="000000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3.方式：现场获取；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4.售价：300元，售后不退。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四、响应文件提交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1.时间：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2022年12月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日9时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分（北京时间）</w:t>
      </w:r>
      <w:r>
        <w:rPr>
          <w:rFonts w:hint="eastAsia" w:ascii="宋体" w:hAnsi="宋体" w:cs="宋体"/>
          <w:color w:val="000000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2.地点：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河南省玺宝工程咨询有限公司开标室</w:t>
      </w:r>
      <w:r>
        <w:rPr>
          <w:rFonts w:hint="eastAsia" w:ascii="宋体" w:hAnsi="宋体" w:cs="宋体"/>
          <w:color w:val="000000"/>
          <w:sz w:val="24"/>
          <w:highlight w:val="none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五、响应文件开启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1.时间：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2022年12月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日9时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分（北京时间）</w:t>
      </w:r>
      <w:r>
        <w:rPr>
          <w:rFonts w:hint="eastAsia" w:ascii="宋体" w:hAnsi="宋体" w:cs="宋体"/>
          <w:color w:val="000000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2.地点：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河南省玺宝工程咨询有限公司开标室</w:t>
      </w:r>
      <w:r>
        <w:rPr>
          <w:rFonts w:hint="eastAsia" w:ascii="宋体" w:hAnsi="宋体" w:cs="宋体"/>
          <w:color w:val="000000"/>
          <w:sz w:val="24"/>
          <w:highlight w:val="none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六、发布公告的媒介及公告期限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本次公告在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《河南省电子招标投标公共服务平台》、焦作市体育局网站</w:t>
      </w:r>
      <w:r>
        <w:rPr>
          <w:rFonts w:hint="eastAsia" w:ascii="宋体" w:hAnsi="宋体" w:cs="宋体"/>
          <w:color w:val="000000"/>
          <w:sz w:val="24"/>
          <w:highlight w:val="none"/>
        </w:rPr>
        <w:t>上发布，公告期限为3个工作日。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七、其他补充事宜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1.本项目不专门面向中小企业采购；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2.本项目执行促进中小企业和监狱企业发展扶持政策、促进残疾人就业政府采购政策。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八、凡对本次招标提出询问，请按照以下方式联系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1.采购人信息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焦作市解放中路401号（市解放中路体育中心院内）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2.采购代理机构信息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焦作市山阳区长恩路1530号商铺二楼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联系人：张先生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联系方式：18839190808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3.项目联系方式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项目联系人：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   张先生     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18839190808</w:t>
      </w:r>
    </w:p>
    <w:p>
      <w:pPr>
        <w:pStyle w:val="7"/>
        <w:spacing w:line="360" w:lineRule="auto"/>
        <w:rPr>
          <w:rFonts w:hint="eastAsia" w:hAnsi="宋体" w:cs="宋体"/>
          <w:color w:val="000000"/>
          <w:sz w:val="24"/>
          <w:szCs w:val="24"/>
          <w:highlight w:val="none"/>
        </w:rPr>
      </w:pPr>
    </w:p>
    <w:p>
      <w:pPr>
        <w:pStyle w:val="7"/>
        <w:spacing w:line="360" w:lineRule="auto"/>
        <w:rPr>
          <w:rFonts w:hint="eastAsia" w:hAnsi="宋体" w:cs="宋体"/>
          <w:color w:val="000000"/>
          <w:sz w:val="24"/>
          <w:szCs w:val="24"/>
          <w:highlight w:val="none"/>
        </w:rPr>
      </w:pPr>
    </w:p>
    <w:p>
      <w:pPr>
        <w:pStyle w:val="7"/>
        <w:spacing w:line="360" w:lineRule="auto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发布人：</w:t>
      </w: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焦作市体育运动学校</w:t>
      </w:r>
    </w:p>
    <w:p>
      <w:pPr>
        <w:pStyle w:val="7"/>
        <w:spacing w:line="360" w:lineRule="auto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河南省玺宝工程咨询有限公司</w:t>
      </w:r>
    </w:p>
    <w:p>
      <w:pPr>
        <w:pStyle w:val="7"/>
        <w:spacing w:line="440" w:lineRule="exact"/>
        <w:jc w:val="right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日期：2022年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12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hAnsi="宋体" w:eastAsia="宋体" w:cs="宋体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日</w:t>
      </w:r>
    </w:p>
    <w:p>
      <w:pPr>
        <w:pStyle w:val="7"/>
        <w:rPr>
          <w:rFonts w:hint="eastAsia" w:hAnsi="宋体" w:cs="宋体"/>
          <w:color w:val="000000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9405D"/>
    <w:multiLevelType w:val="singleLevel"/>
    <w:tmpl w:val="DE7940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8D0690"/>
    <w:multiLevelType w:val="singleLevel"/>
    <w:tmpl w:val="E58D069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djODQxZGUxM2VjZGRlODk3NGYzMmY0NGUxNzQifQ=="/>
  </w:docVars>
  <w:rsids>
    <w:rsidRoot w:val="00B50377"/>
    <w:rsid w:val="00B50377"/>
    <w:rsid w:val="3901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pPr>
      <w:jc w:val="left"/>
    </w:pPr>
    <w:rPr>
      <w:rFonts w:ascii="Calibri" w:hAnsi="Calibri" w:eastAsia="宋体"/>
      <w:color w:val="auto"/>
      <w:kern w:val="0"/>
      <w:sz w:val="22"/>
      <w:szCs w:val="22"/>
      <w:lang w:eastAsia="en-US"/>
    </w:rPr>
  </w:style>
  <w:style w:type="paragraph" w:customStyle="1" w:styleId="7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1228</Words>
  <Characters>1436</Characters>
  <Lines>0</Lines>
  <Paragraphs>0</Paragraphs>
  <TotalTime>1</TotalTime>
  <ScaleCrop>false</ScaleCrop>
  <LinksUpToDate>false</LinksUpToDate>
  <CharactersWithSpaces>1462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2022-12-06T01:11:00Z</dcterms:created>
  <dc:creator>释演松</dc:creator>
  <cp:lastModifiedBy>乐不思鼠</cp:lastModifiedBy>
  <dcterms:modified xsi:type="dcterms:W3CDTF">2022-12-06T07:56:58Z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5BFB55080DCA40CDBE70CD6CD9D99013</vt:lpwstr>
  </property>
</Properties>
</file>