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rPr>
      </w:pPr>
    </w:p>
    <w:p>
      <w:pPr>
        <w:spacing w:line="560" w:lineRule="exact"/>
        <w:ind w:firstLine="883" w:firstLineChars="200"/>
        <w:jc w:val="center"/>
        <w:rPr>
          <w:rFonts w:ascii="宋体" w:hAnsi="宋体"/>
          <w:b/>
          <w:color w:val="auto"/>
          <w:sz w:val="44"/>
        </w:rPr>
      </w:pPr>
    </w:p>
    <w:p>
      <w:pPr>
        <w:tabs>
          <w:tab w:val="left" w:pos="3547"/>
        </w:tabs>
        <w:spacing w:line="560" w:lineRule="exact"/>
        <w:ind w:firstLine="883" w:firstLineChars="200"/>
        <w:jc w:val="left"/>
        <w:rPr>
          <w:rFonts w:ascii="宋体" w:hAnsi="宋体"/>
          <w:b/>
          <w:color w:val="auto"/>
          <w:sz w:val="44"/>
        </w:rPr>
      </w:pPr>
      <w:r>
        <w:rPr>
          <w:rFonts w:hint="eastAsia" w:ascii="宋体" w:hAnsi="宋体"/>
          <w:b/>
          <w:color w:val="auto"/>
          <w:sz w:val="44"/>
        </w:rPr>
        <w:tab/>
      </w:r>
    </w:p>
    <w:p>
      <w:pPr>
        <w:spacing w:line="560" w:lineRule="exact"/>
        <w:ind w:firstLine="883" w:firstLineChars="200"/>
        <w:jc w:val="center"/>
        <w:rPr>
          <w:rFonts w:ascii="宋体" w:hAnsi="宋体"/>
          <w:b/>
          <w:color w:val="auto"/>
          <w:sz w:val="44"/>
        </w:rPr>
      </w:pPr>
    </w:p>
    <w:p>
      <w:pPr>
        <w:rPr>
          <w:rFonts w:ascii="宋体" w:hAnsi="宋体"/>
          <w:b/>
          <w:color w:val="auto"/>
          <w:sz w:val="44"/>
        </w:rPr>
      </w:pPr>
    </w:p>
    <w:p>
      <w:pPr>
        <w:rPr>
          <w:color w:val="auto"/>
        </w:rPr>
      </w:pPr>
    </w:p>
    <w:p>
      <w:pPr>
        <w:jc w:val="center"/>
        <w:rPr>
          <w:rFonts w:ascii="黑体" w:hAnsi="黑体" w:eastAsia="黑体" w:cstheme="minorBidi"/>
          <w:b/>
          <w:color w:val="auto"/>
          <w:sz w:val="44"/>
          <w:szCs w:val="44"/>
        </w:rPr>
      </w:pPr>
      <w:r>
        <w:rPr>
          <w:rFonts w:hint="eastAsia" w:ascii="黑体" w:hAnsi="黑体" w:eastAsia="黑体" w:cstheme="minorBidi"/>
          <w:b/>
          <w:color w:val="auto"/>
          <w:sz w:val="44"/>
          <w:szCs w:val="44"/>
        </w:rPr>
        <w:t>焦作市体育事业发展“十四五”规划</w:t>
      </w:r>
    </w:p>
    <w:p>
      <w:pPr>
        <w:rPr>
          <w:color w:val="auto"/>
        </w:rPr>
      </w:pPr>
    </w:p>
    <w:p>
      <w:pPr>
        <w:pStyle w:val="2"/>
        <w:rPr>
          <w:color w:val="auto"/>
        </w:rPr>
      </w:pPr>
    </w:p>
    <w:p>
      <w:pPr>
        <w:rPr>
          <w:rFonts w:ascii="仿宋_GB2312" w:hAnsi="宋体" w:eastAsia="仿宋_GB2312"/>
          <w:color w:val="auto"/>
          <w:sz w:val="32"/>
        </w:rPr>
      </w:pPr>
    </w:p>
    <w:p>
      <w:pPr>
        <w:spacing w:line="560" w:lineRule="exact"/>
        <w:jc w:val="center"/>
        <w:rPr>
          <w:rFonts w:ascii="仿宋_GB2312" w:hAnsi="宋体" w:eastAsia="仿宋_GB2312"/>
          <w:color w:val="auto"/>
          <w:sz w:val="32"/>
        </w:rPr>
      </w:pPr>
    </w:p>
    <w:p>
      <w:pPr>
        <w:spacing w:line="560" w:lineRule="exact"/>
        <w:jc w:val="center"/>
        <w:rPr>
          <w:rFonts w:ascii="仿宋_GB2312" w:hAnsi="宋体" w:eastAsia="仿宋_GB2312"/>
          <w:color w:val="auto"/>
          <w:sz w:val="32"/>
        </w:rPr>
      </w:pPr>
    </w:p>
    <w:p>
      <w:pPr>
        <w:spacing w:line="560" w:lineRule="exact"/>
        <w:jc w:val="center"/>
        <w:rPr>
          <w:rFonts w:ascii="仿宋_GB2312" w:hAnsi="宋体" w:eastAsia="仿宋_GB2312"/>
          <w:color w:val="auto"/>
          <w:sz w:val="32"/>
        </w:rPr>
      </w:pPr>
    </w:p>
    <w:p>
      <w:pPr>
        <w:spacing w:line="560" w:lineRule="exact"/>
        <w:jc w:val="center"/>
        <w:rPr>
          <w:rFonts w:ascii="仿宋_GB2312" w:hAnsi="宋体" w:eastAsia="仿宋_GB2312"/>
          <w:color w:val="auto"/>
          <w:sz w:val="32"/>
        </w:rPr>
      </w:pPr>
    </w:p>
    <w:p>
      <w:pPr>
        <w:spacing w:line="560" w:lineRule="exact"/>
        <w:rPr>
          <w:rFonts w:ascii="仿宋_GB2312" w:hAnsi="宋体" w:eastAsia="仿宋_GB2312"/>
          <w:color w:val="auto"/>
          <w:sz w:val="32"/>
        </w:rPr>
      </w:pPr>
    </w:p>
    <w:p>
      <w:pPr>
        <w:spacing w:line="560" w:lineRule="exact"/>
        <w:jc w:val="center"/>
        <w:rPr>
          <w:rFonts w:ascii="仿宋_GB2312" w:hAnsi="宋体" w:eastAsia="仿宋_GB2312"/>
          <w:color w:val="auto"/>
          <w:sz w:val="32"/>
        </w:rPr>
      </w:pPr>
    </w:p>
    <w:p>
      <w:pPr>
        <w:spacing w:line="560" w:lineRule="exact"/>
        <w:jc w:val="center"/>
        <w:rPr>
          <w:rFonts w:ascii="仿宋_GB2312" w:hAnsi="宋体" w:eastAsia="仿宋_GB2312"/>
          <w:color w:val="auto"/>
          <w:sz w:val="32"/>
        </w:rPr>
      </w:pPr>
    </w:p>
    <w:p>
      <w:pPr>
        <w:rPr>
          <w:color w:val="auto"/>
          <w:sz w:val="44"/>
        </w:rPr>
      </w:pPr>
    </w:p>
    <w:p>
      <w:pPr>
        <w:spacing w:line="560" w:lineRule="exact"/>
        <w:jc w:val="center"/>
        <w:rPr>
          <w:rFonts w:ascii="仿宋_GB2312" w:hAnsi="宋体" w:eastAsia="仿宋_GB2312"/>
          <w:color w:val="auto"/>
          <w:sz w:val="32"/>
        </w:rPr>
      </w:pPr>
    </w:p>
    <w:p>
      <w:pPr>
        <w:spacing w:line="560" w:lineRule="exact"/>
        <w:jc w:val="center"/>
        <w:rPr>
          <w:rFonts w:ascii="仿宋_GB2312" w:hAnsi="宋体" w:eastAsia="仿宋_GB2312"/>
          <w:b/>
          <w:bCs/>
          <w:color w:val="auto"/>
          <w:sz w:val="32"/>
        </w:rPr>
      </w:pPr>
      <w:r>
        <w:rPr>
          <w:rFonts w:hint="eastAsia" w:ascii="仿宋_GB2312" w:hAnsi="宋体" w:eastAsia="仿宋_GB2312"/>
          <w:b/>
          <w:bCs/>
          <w:color w:val="auto"/>
          <w:sz w:val="32"/>
        </w:rPr>
        <w:t>焦作市体育局</w:t>
      </w:r>
    </w:p>
    <w:p>
      <w:pPr>
        <w:spacing w:line="560" w:lineRule="exact"/>
        <w:jc w:val="center"/>
        <w:rPr>
          <w:rFonts w:ascii="仿宋_GB2312" w:hAnsi="宋体" w:eastAsia="仿宋_GB2312"/>
          <w:b/>
          <w:bCs/>
          <w:color w:val="auto"/>
          <w:sz w:val="32"/>
        </w:rPr>
      </w:pPr>
      <w:r>
        <w:rPr>
          <w:rFonts w:hint="eastAsia" w:ascii="仿宋_GB2312" w:hAnsi="宋体" w:eastAsia="仿宋_GB2312"/>
          <w:b/>
          <w:bCs/>
          <w:color w:val="auto"/>
          <w:sz w:val="32"/>
        </w:rPr>
        <w:t>2021年1</w:t>
      </w:r>
      <w:r>
        <w:rPr>
          <w:rFonts w:hint="eastAsia" w:ascii="仿宋_GB2312" w:hAnsi="宋体" w:eastAsia="仿宋_GB2312"/>
          <w:b/>
          <w:bCs/>
          <w:color w:val="auto"/>
          <w:sz w:val="32"/>
          <w:lang w:val="en-US" w:eastAsia="zh-CN"/>
        </w:rPr>
        <w:t>2</w:t>
      </w:r>
      <w:r>
        <w:rPr>
          <w:rFonts w:hint="eastAsia" w:ascii="仿宋_GB2312" w:hAnsi="宋体" w:eastAsia="仿宋_GB2312"/>
          <w:b/>
          <w:bCs/>
          <w:color w:val="auto"/>
          <w:sz w:val="32"/>
        </w:rPr>
        <w:t>月</w:t>
      </w:r>
    </w:p>
    <w:p>
      <w:pPr>
        <w:spacing w:line="560" w:lineRule="exact"/>
        <w:ind w:firstLine="640" w:firstLineChars="200"/>
        <w:jc w:val="center"/>
        <w:rPr>
          <w:rFonts w:ascii="仿宋_GB2312" w:hAnsi="宋体" w:eastAsia="仿宋_GB2312"/>
          <w:color w:val="auto"/>
          <w:sz w:val="32"/>
        </w:rPr>
      </w:pPr>
    </w:p>
    <w:p>
      <w:pPr>
        <w:ind w:firstLine="420" w:firstLineChars="200"/>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b/>
          <w:bCs/>
          <w:color w:val="auto"/>
          <w:sz w:val="44"/>
          <w:szCs w:val="44"/>
        </w:rPr>
      </w:pPr>
      <w:r>
        <w:rPr>
          <w:rFonts w:ascii="宋体" w:hAnsi="宋体"/>
          <w:b/>
          <w:bCs/>
          <w:color w:val="auto"/>
          <w:sz w:val="44"/>
          <w:szCs w:val="44"/>
        </w:rPr>
        <w:t>目</w:t>
      </w:r>
      <w:r>
        <w:rPr>
          <w:rFonts w:hint="eastAsia" w:ascii="宋体" w:hAnsi="宋体"/>
          <w:b/>
          <w:bCs/>
          <w:color w:val="auto"/>
          <w:sz w:val="44"/>
          <w:szCs w:val="44"/>
        </w:rPr>
        <w:t xml:space="preserve">  </w:t>
      </w:r>
      <w:r>
        <w:rPr>
          <w:rFonts w:ascii="宋体" w:hAnsi="宋体"/>
          <w:b/>
          <w:bCs/>
          <w:color w:val="auto"/>
          <w:sz w:val="44"/>
          <w:szCs w:val="44"/>
        </w:rPr>
        <w:t>录</w:t>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rFonts w:hint="eastAsia" w:ascii="黑体" w:hAnsi="黑体" w:eastAsia="黑体" w:cstheme="minorBidi"/>
          <w:color w:val="auto"/>
          <w:sz w:val="32"/>
          <w:szCs w:val="32"/>
        </w:rPr>
        <w:fldChar w:fldCharType="begin"/>
      </w:r>
      <w:r>
        <w:rPr>
          <w:rFonts w:hint="eastAsia" w:ascii="黑体" w:hAnsi="黑体" w:eastAsia="黑体" w:cstheme="minorBidi"/>
          <w:color w:val="auto"/>
          <w:sz w:val="32"/>
          <w:szCs w:val="32"/>
        </w:rPr>
        <w:instrText xml:space="preserve">TOC \o "1-3" \h \u </w:instrText>
      </w:r>
      <w:r>
        <w:rPr>
          <w:rFonts w:hint="eastAsia" w:ascii="黑体" w:hAnsi="黑体" w:eastAsia="黑体" w:cstheme="minorBidi"/>
          <w:color w:val="auto"/>
          <w:sz w:val="32"/>
          <w:szCs w:val="32"/>
        </w:rPr>
        <w:fldChar w:fldCharType="separate"/>
      </w:r>
      <w:r>
        <w:rPr>
          <w:color w:val="auto"/>
        </w:rPr>
        <w:fldChar w:fldCharType="begin"/>
      </w:r>
      <w:r>
        <w:rPr>
          <w:color w:val="auto"/>
        </w:rPr>
        <w:instrText xml:space="preserve"> HYPERLINK \l "_Toc79870460" </w:instrText>
      </w:r>
      <w:r>
        <w:rPr>
          <w:color w:val="auto"/>
        </w:rPr>
        <w:fldChar w:fldCharType="separate"/>
      </w:r>
      <w:r>
        <w:rPr>
          <w:rStyle w:val="29"/>
          <w:rFonts w:ascii="黑体" w:hAnsi="黑体" w:eastAsia="黑体"/>
          <w:color w:val="auto"/>
        </w:rPr>
        <w:t>前   言</w:t>
      </w:r>
      <w:r>
        <w:rPr>
          <w:color w:val="auto"/>
        </w:rPr>
        <w:tab/>
      </w:r>
      <w:r>
        <w:rPr>
          <w:color w:val="auto"/>
        </w:rPr>
        <w:fldChar w:fldCharType="begin"/>
      </w:r>
      <w:r>
        <w:rPr>
          <w:color w:val="auto"/>
        </w:rPr>
        <w:instrText xml:space="preserve"> PAGEREF _Toc79870460 \h </w:instrText>
      </w:r>
      <w:r>
        <w:rPr>
          <w:color w:val="auto"/>
        </w:rPr>
        <w:fldChar w:fldCharType="separate"/>
      </w:r>
      <w:r>
        <w:rPr>
          <w:color w:val="auto"/>
        </w:rPr>
        <w:t>- 1 -</w:t>
      </w:r>
      <w:r>
        <w:rPr>
          <w:color w:val="auto"/>
        </w:rPr>
        <w:fldChar w:fldCharType="end"/>
      </w:r>
      <w:r>
        <w:rPr>
          <w:color w:val="auto"/>
        </w:rPr>
        <w:fldChar w:fldCharType="end"/>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"_Toc79870461" </w:instrText>
      </w:r>
      <w:r>
        <w:rPr>
          <w:color w:val="auto"/>
        </w:rPr>
        <w:fldChar w:fldCharType="separate"/>
      </w:r>
      <w:r>
        <w:rPr>
          <w:rStyle w:val="29"/>
          <w:rFonts w:ascii="宋体" w:hAnsi="宋体" w:cs="宋体"/>
          <w:color w:val="auto"/>
        </w:rPr>
        <w:t>第一章 背景分析</w:t>
      </w:r>
      <w:r>
        <w:rPr>
          <w:color w:val="auto"/>
        </w:rPr>
        <w:tab/>
      </w:r>
      <w:r>
        <w:rPr>
          <w:color w:val="auto"/>
        </w:rPr>
        <w:fldChar w:fldCharType="begin"/>
      </w:r>
      <w:r>
        <w:rPr>
          <w:color w:val="auto"/>
        </w:rPr>
        <w:instrText xml:space="preserve"> PAGEREF _Toc79870461 \h </w:instrText>
      </w:r>
      <w:r>
        <w:rPr>
          <w:color w:val="auto"/>
        </w:rPr>
        <w:fldChar w:fldCharType="separate"/>
      </w:r>
      <w:r>
        <w:rPr>
          <w:color w:val="auto"/>
        </w:rPr>
        <w:t>- 3 -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"_Toc79870462" </w:instrText>
      </w:r>
      <w:r>
        <w:rPr>
          <w:color w:val="auto"/>
        </w:rPr>
        <w:fldChar w:fldCharType="separate"/>
      </w:r>
      <w:r>
        <w:rPr>
          <w:rStyle w:val="29"/>
          <w:rFonts w:ascii="黑体" w:hAnsi="黑体" w:eastAsia="黑体" w:cs="黑体"/>
          <w:color w:val="auto"/>
        </w:rPr>
        <w:t>一、“十三五”焦作市体育发展成就</w:t>
      </w:r>
      <w:r>
        <w:rPr>
          <w:color w:val="auto"/>
        </w:rPr>
        <w:tab/>
      </w:r>
      <w:r>
        <w:rPr>
          <w:color w:val="auto"/>
        </w:rPr>
        <w:fldChar w:fldCharType="begin"/>
      </w:r>
      <w:r>
        <w:rPr>
          <w:color w:val="auto"/>
        </w:rPr>
        <w:instrText xml:space="preserve"> PAGEREF _Toc79870462 \h </w:instrText>
      </w:r>
      <w:r>
        <w:rPr>
          <w:color w:val="auto"/>
        </w:rPr>
        <w:fldChar w:fldCharType="separate"/>
      </w:r>
      <w:r>
        <w:rPr>
          <w:color w:val="auto"/>
        </w:rPr>
        <w:t>- 3 -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"_Toc79870463" </w:instrText>
      </w:r>
      <w:r>
        <w:rPr>
          <w:color w:val="auto"/>
        </w:rPr>
        <w:fldChar w:fldCharType="separate"/>
      </w:r>
      <w:r>
        <w:rPr>
          <w:rStyle w:val="29"/>
          <w:rFonts w:ascii="楷体" w:hAnsi="楷体" w:eastAsia="楷体" w:cs="楷体"/>
          <w:color w:val="auto"/>
        </w:rPr>
        <w:t>（一）公共服务体系不断完善</w:t>
      </w:r>
      <w:r>
        <w:rPr>
          <w:color w:val="auto"/>
        </w:rPr>
        <w:tab/>
      </w:r>
      <w:r>
        <w:rPr>
          <w:color w:val="auto"/>
        </w:rPr>
        <w:fldChar w:fldCharType="begin"/>
      </w:r>
      <w:r>
        <w:rPr>
          <w:color w:val="auto"/>
        </w:rPr>
        <w:instrText xml:space="preserve"> PAGEREF _Toc79870463 \h </w:instrText>
      </w:r>
      <w:r>
        <w:rPr>
          <w:color w:val="auto"/>
        </w:rPr>
        <w:fldChar w:fldCharType="separate"/>
      </w:r>
      <w:r>
        <w:rPr>
          <w:color w:val="auto"/>
        </w:rPr>
        <w:t>- 3 -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"_Toc79870464" </w:instrText>
      </w:r>
      <w:r>
        <w:rPr>
          <w:color w:val="auto"/>
        </w:rPr>
        <w:fldChar w:fldCharType="separate"/>
      </w:r>
      <w:r>
        <w:rPr>
          <w:rStyle w:val="29"/>
          <w:rFonts w:ascii="楷体" w:hAnsi="楷体" w:eastAsia="楷体" w:cs="楷体"/>
          <w:color w:val="auto"/>
        </w:rPr>
        <w:t>（二）竞技体育水平稳步提升</w:t>
      </w:r>
      <w:r>
        <w:rPr>
          <w:color w:val="auto"/>
        </w:rPr>
        <w:tab/>
      </w:r>
      <w:r>
        <w:rPr>
          <w:color w:val="auto"/>
        </w:rPr>
        <w:fldChar w:fldCharType="begin"/>
      </w:r>
      <w:r>
        <w:rPr>
          <w:color w:val="auto"/>
        </w:rPr>
        <w:instrText xml:space="preserve"> PAGEREF _Toc79870464 \h </w:instrText>
      </w:r>
      <w:r>
        <w:rPr>
          <w:color w:val="auto"/>
        </w:rPr>
        <w:fldChar w:fldCharType="separate"/>
      </w:r>
      <w:r>
        <w:rPr>
          <w:color w:val="auto"/>
        </w:rPr>
        <w:t>- 4 -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"_Toc79870465" </w:instrText>
      </w:r>
      <w:r>
        <w:rPr>
          <w:color w:val="auto"/>
        </w:rPr>
        <w:fldChar w:fldCharType="separate"/>
      </w:r>
      <w:r>
        <w:rPr>
          <w:rStyle w:val="29"/>
          <w:rFonts w:ascii="楷体" w:hAnsi="楷体" w:eastAsia="楷体" w:cs="楷体"/>
          <w:color w:val="auto"/>
        </w:rPr>
        <w:t>（三）体育产业发展量质齐升</w:t>
      </w:r>
      <w:r>
        <w:rPr>
          <w:color w:val="auto"/>
        </w:rPr>
        <w:tab/>
      </w:r>
      <w:r>
        <w:rPr>
          <w:color w:val="auto"/>
        </w:rPr>
        <w:fldChar w:fldCharType="begin"/>
      </w:r>
      <w:r>
        <w:rPr>
          <w:color w:val="auto"/>
        </w:rPr>
        <w:instrText xml:space="preserve"> PAGEREF _Toc79870465 \h </w:instrText>
      </w:r>
      <w:r>
        <w:rPr>
          <w:color w:val="auto"/>
        </w:rPr>
        <w:fldChar w:fldCharType="separate"/>
      </w:r>
      <w:r>
        <w:rPr>
          <w:color w:val="auto"/>
        </w:rPr>
        <w:t>- 6 -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"_Toc79870466" </w:instrText>
      </w:r>
      <w:r>
        <w:rPr>
          <w:color w:val="auto"/>
        </w:rPr>
        <w:fldChar w:fldCharType="separate"/>
      </w:r>
      <w:r>
        <w:rPr>
          <w:rStyle w:val="29"/>
          <w:rFonts w:ascii="楷体" w:hAnsi="楷体" w:eastAsia="楷体" w:cs="楷体"/>
          <w:color w:val="auto"/>
        </w:rPr>
        <w:t>（四）体育文化影响不断扩大</w:t>
      </w:r>
      <w:r>
        <w:rPr>
          <w:color w:val="auto"/>
        </w:rPr>
        <w:tab/>
      </w:r>
      <w:r>
        <w:rPr>
          <w:color w:val="auto"/>
        </w:rPr>
        <w:fldChar w:fldCharType="begin"/>
      </w:r>
      <w:r>
        <w:rPr>
          <w:color w:val="auto"/>
        </w:rPr>
        <w:instrText xml:space="preserve"> PAGEREF _Toc79870466 \h </w:instrText>
      </w:r>
      <w:r>
        <w:rPr>
          <w:color w:val="auto"/>
        </w:rPr>
        <w:fldChar w:fldCharType="separate"/>
      </w:r>
      <w:r>
        <w:rPr>
          <w:color w:val="auto"/>
        </w:rPr>
        <w:t>- 6 -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"_Toc79870467" </w:instrText>
      </w:r>
      <w:r>
        <w:rPr>
          <w:color w:val="auto"/>
        </w:rPr>
        <w:fldChar w:fldCharType="separate"/>
      </w:r>
      <w:r>
        <w:rPr>
          <w:rStyle w:val="29"/>
          <w:rFonts w:ascii="楷体" w:hAnsi="楷体" w:eastAsia="楷体" w:cs="楷体"/>
          <w:color w:val="auto"/>
        </w:rPr>
        <w:t>（五）体育改革成效初步显现</w:t>
      </w:r>
      <w:r>
        <w:rPr>
          <w:color w:val="auto"/>
        </w:rPr>
        <w:tab/>
      </w:r>
      <w:r>
        <w:rPr>
          <w:color w:val="auto"/>
        </w:rPr>
        <w:fldChar w:fldCharType="begin"/>
      </w:r>
      <w:r>
        <w:rPr>
          <w:color w:val="auto"/>
        </w:rPr>
        <w:instrText xml:space="preserve"> PAGEREF _Toc79870467 \h </w:instrText>
      </w:r>
      <w:r>
        <w:rPr>
          <w:color w:val="auto"/>
        </w:rPr>
        <w:fldChar w:fldCharType="separate"/>
      </w:r>
      <w:r>
        <w:rPr>
          <w:color w:val="auto"/>
        </w:rPr>
        <w:t>- 6 -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"_Toc79870468" </w:instrText>
      </w:r>
      <w:r>
        <w:rPr>
          <w:color w:val="auto"/>
        </w:rPr>
        <w:fldChar w:fldCharType="separate"/>
      </w:r>
      <w:r>
        <w:rPr>
          <w:rStyle w:val="29"/>
          <w:rFonts w:ascii="黑体" w:hAnsi="黑体" w:eastAsia="黑体" w:cs="黑体"/>
          <w:color w:val="auto"/>
        </w:rPr>
        <w:t>二、“十四五”焦作体育发展面临的机遇和挑战</w:t>
      </w:r>
      <w:r>
        <w:rPr>
          <w:color w:val="auto"/>
        </w:rPr>
        <w:tab/>
      </w:r>
      <w:r>
        <w:rPr>
          <w:color w:val="auto"/>
        </w:rPr>
        <w:fldChar w:fldCharType="begin"/>
      </w:r>
      <w:r>
        <w:rPr>
          <w:color w:val="auto"/>
        </w:rPr>
        <w:instrText xml:space="preserve"> PAGEREF _Toc79870468 \h </w:instrText>
      </w:r>
      <w:r>
        <w:rPr>
          <w:color w:val="auto"/>
        </w:rPr>
        <w:fldChar w:fldCharType="separate"/>
      </w:r>
      <w:r>
        <w:rPr>
          <w:color w:val="auto"/>
        </w:rPr>
        <w:t>- 7 -</w:t>
      </w:r>
      <w:r>
        <w:rPr>
          <w:color w:val="auto"/>
        </w:rPr>
        <w:fldChar w:fldCharType="end"/>
      </w:r>
      <w:r>
        <w:rPr>
          <w:color w:val="auto"/>
        </w:rPr>
        <w:fldChar w:fldCharType="end"/>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"_Toc79870469" </w:instrText>
      </w:r>
      <w:r>
        <w:rPr>
          <w:color w:val="auto"/>
        </w:rPr>
        <w:fldChar w:fldCharType="separate"/>
      </w:r>
      <w:r>
        <w:rPr>
          <w:rStyle w:val="29"/>
          <w:rFonts w:ascii="宋体" w:hAnsi="宋体" w:cs="宋体"/>
          <w:color w:val="auto"/>
        </w:rPr>
        <w:t>第二章 总体战略</w:t>
      </w:r>
      <w:r>
        <w:rPr>
          <w:color w:val="auto"/>
        </w:rPr>
        <w:tab/>
      </w:r>
      <w:r>
        <w:rPr>
          <w:color w:val="auto"/>
        </w:rPr>
        <w:fldChar w:fldCharType="begin"/>
      </w:r>
      <w:r>
        <w:rPr>
          <w:color w:val="auto"/>
        </w:rPr>
        <w:instrText xml:space="preserve"> PAGEREF _Toc79870469 \h </w:instrText>
      </w:r>
      <w:r>
        <w:rPr>
          <w:color w:val="auto"/>
        </w:rPr>
        <w:fldChar w:fldCharType="separate"/>
      </w:r>
      <w:r>
        <w:rPr>
          <w:color w:val="auto"/>
        </w:rPr>
        <w:t>- 9 -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"_Toc79870470" </w:instrText>
      </w:r>
      <w:r>
        <w:rPr>
          <w:color w:val="auto"/>
        </w:rPr>
        <w:fldChar w:fldCharType="separate"/>
      </w:r>
      <w:r>
        <w:rPr>
          <w:rStyle w:val="29"/>
          <w:rFonts w:ascii="黑体" w:hAnsi="黑体" w:eastAsia="黑体" w:cs="黑体"/>
          <w:color w:val="auto"/>
        </w:rPr>
        <w:t>一、指导思想</w:t>
      </w:r>
      <w:r>
        <w:rPr>
          <w:color w:val="auto"/>
        </w:rPr>
        <w:tab/>
      </w:r>
      <w:r>
        <w:rPr>
          <w:color w:val="auto"/>
        </w:rPr>
        <w:fldChar w:fldCharType="begin"/>
      </w:r>
      <w:r>
        <w:rPr>
          <w:color w:val="auto"/>
        </w:rPr>
        <w:instrText xml:space="preserve"> PAGEREF _Toc79870470 \h </w:instrText>
      </w:r>
      <w:r>
        <w:rPr>
          <w:color w:val="auto"/>
        </w:rPr>
        <w:fldChar w:fldCharType="separate"/>
      </w:r>
      <w:r>
        <w:rPr>
          <w:color w:val="auto"/>
        </w:rPr>
        <w:t>- 9 -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"_Toc79870471" </w:instrText>
      </w:r>
      <w:r>
        <w:rPr>
          <w:color w:val="auto"/>
        </w:rPr>
        <w:fldChar w:fldCharType="separate"/>
      </w:r>
      <w:r>
        <w:rPr>
          <w:rStyle w:val="29"/>
          <w:rFonts w:ascii="黑体" w:hAnsi="黑体" w:eastAsia="黑体" w:cs="黑体"/>
          <w:color w:val="auto"/>
        </w:rPr>
        <w:t>二、发展原则</w:t>
      </w:r>
      <w:r>
        <w:rPr>
          <w:color w:val="auto"/>
        </w:rPr>
        <w:tab/>
      </w:r>
      <w:r>
        <w:rPr>
          <w:color w:val="auto"/>
        </w:rPr>
        <w:fldChar w:fldCharType="begin"/>
      </w:r>
      <w:r>
        <w:rPr>
          <w:color w:val="auto"/>
        </w:rPr>
        <w:instrText xml:space="preserve"> PAGEREF _Toc79870471 \h </w:instrText>
      </w:r>
      <w:r>
        <w:rPr>
          <w:color w:val="auto"/>
        </w:rPr>
        <w:fldChar w:fldCharType="separate"/>
      </w:r>
      <w:r>
        <w:rPr>
          <w:color w:val="auto"/>
        </w:rPr>
        <w:t>- 10 -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"_Toc79870472" </w:instrText>
      </w:r>
      <w:r>
        <w:rPr>
          <w:color w:val="auto"/>
        </w:rPr>
        <w:fldChar w:fldCharType="separate"/>
      </w:r>
      <w:r>
        <w:rPr>
          <w:rStyle w:val="29"/>
          <w:rFonts w:ascii="黑体" w:hAnsi="黑体" w:eastAsia="黑体" w:cs="黑体"/>
          <w:color w:val="auto"/>
        </w:rPr>
        <w:t>三、发展目标</w:t>
      </w:r>
      <w:r>
        <w:rPr>
          <w:color w:val="auto"/>
        </w:rPr>
        <w:tab/>
      </w:r>
      <w:r>
        <w:rPr>
          <w:color w:val="auto"/>
        </w:rPr>
        <w:fldChar w:fldCharType="begin"/>
      </w:r>
      <w:r>
        <w:rPr>
          <w:color w:val="auto"/>
        </w:rPr>
        <w:instrText xml:space="preserve"> PAGEREF _Toc79870472 \h </w:instrText>
      </w:r>
      <w:r>
        <w:rPr>
          <w:color w:val="auto"/>
        </w:rPr>
        <w:fldChar w:fldCharType="separate"/>
      </w:r>
      <w:r>
        <w:rPr>
          <w:color w:val="auto"/>
        </w:rPr>
        <w:t>- 11 -</w:t>
      </w:r>
      <w:r>
        <w:rPr>
          <w:color w:val="auto"/>
        </w:rPr>
        <w:fldChar w:fldCharType="end"/>
      </w:r>
      <w:r>
        <w:rPr>
          <w:color w:val="auto"/>
        </w:rPr>
        <w:fldChar w:fldCharType="end"/>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"_Toc79870473" </w:instrText>
      </w:r>
      <w:r>
        <w:rPr>
          <w:color w:val="auto"/>
        </w:rPr>
        <w:fldChar w:fldCharType="separate"/>
      </w:r>
      <w:r>
        <w:rPr>
          <w:rStyle w:val="29"/>
          <w:rFonts w:ascii="宋体" w:hAnsi="宋体" w:cs="宋体"/>
          <w:color w:val="auto"/>
        </w:rPr>
        <w:t>第三章 重点任务</w:t>
      </w:r>
      <w:r>
        <w:rPr>
          <w:color w:val="auto"/>
        </w:rPr>
        <w:tab/>
      </w:r>
      <w:r>
        <w:rPr>
          <w:color w:val="auto"/>
        </w:rPr>
        <w:fldChar w:fldCharType="begin"/>
      </w:r>
      <w:r>
        <w:rPr>
          <w:color w:val="auto"/>
        </w:rPr>
        <w:instrText xml:space="preserve"> PAGEREF _Toc79870473 \h </w:instrText>
      </w:r>
      <w:r>
        <w:rPr>
          <w:color w:val="auto"/>
        </w:rPr>
        <w:fldChar w:fldCharType="separate"/>
      </w:r>
      <w:r>
        <w:rPr>
          <w:color w:val="auto"/>
        </w:rPr>
        <w:t>- 13 -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"_Toc79870474" </w:instrText>
      </w:r>
      <w:r>
        <w:rPr>
          <w:color w:val="auto"/>
        </w:rPr>
        <w:fldChar w:fldCharType="separate"/>
      </w:r>
      <w:r>
        <w:rPr>
          <w:rStyle w:val="29"/>
          <w:rFonts w:ascii="黑体" w:hAnsi="黑体" w:eastAsia="黑体" w:cs="黑体"/>
          <w:color w:val="auto"/>
        </w:rPr>
        <w:t>一、群众体育全方位发展</w:t>
      </w:r>
      <w:r>
        <w:rPr>
          <w:color w:val="auto"/>
        </w:rPr>
        <w:tab/>
      </w:r>
      <w:r>
        <w:rPr>
          <w:color w:val="auto"/>
        </w:rPr>
        <w:fldChar w:fldCharType="begin"/>
      </w:r>
      <w:r>
        <w:rPr>
          <w:color w:val="auto"/>
        </w:rPr>
        <w:instrText xml:space="preserve"> PAGEREF _Toc79870474 \h </w:instrText>
      </w:r>
      <w:r>
        <w:rPr>
          <w:color w:val="auto"/>
        </w:rPr>
        <w:fldChar w:fldCharType="separate"/>
      </w:r>
      <w:r>
        <w:rPr>
          <w:color w:val="auto"/>
        </w:rPr>
        <w:t>- 13 -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"_Toc79870475" </w:instrText>
      </w:r>
      <w:r>
        <w:rPr>
          <w:color w:val="auto"/>
        </w:rPr>
        <w:fldChar w:fldCharType="separate"/>
      </w:r>
      <w:r>
        <w:rPr>
          <w:rStyle w:val="29"/>
          <w:rFonts w:ascii="楷体" w:hAnsi="楷体" w:eastAsia="楷体" w:cs="楷体"/>
          <w:color w:val="auto"/>
        </w:rPr>
        <w:t>（一）丰富群众身边赛事活动</w:t>
      </w:r>
      <w:r>
        <w:rPr>
          <w:color w:val="auto"/>
        </w:rPr>
        <w:tab/>
      </w:r>
      <w:r>
        <w:rPr>
          <w:color w:val="auto"/>
        </w:rPr>
        <w:fldChar w:fldCharType="begin"/>
      </w:r>
      <w:r>
        <w:rPr>
          <w:color w:val="auto"/>
        </w:rPr>
        <w:instrText xml:space="preserve"> PAGEREF _Toc79870475 \h </w:instrText>
      </w:r>
      <w:r>
        <w:rPr>
          <w:color w:val="auto"/>
        </w:rPr>
        <w:fldChar w:fldCharType="separate"/>
      </w:r>
      <w:r>
        <w:rPr>
          <w:color w:val="auto"/>
        </w:rPr>
        <w:t>- 13 -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"_Toc79870476" </w:instrText>
      </w:r>
      <w:r>
        <w:rPr>
          <w:color w:val="auto"/>
        </w:rPr>
        <w:fldChar w:fldCharType="separate"/>
      </w:r>
      <w:r>
        <w:rPr>
          <w:rStyle w:val="29"/>
          <w:rFonts w:ascii="楷体" w:hAnsi="楷体" w:eastAsia="楷体" w:cs="楷体"/>
          <w:color w:val="auto"/>
        </w:rPr>
        <w:t>（二）推进群众身边基础设施建设</w:t>
      </w:r>
      <w:r>
        <w:rPr>
          <w:color w:val="auto"/>
        </w:rPr>
        <w:tab/>
      </w:r>
      <w:r>
        <w:rPr>
          <w:color w:val="auto"/>
        </w:rPr>
        <w:fldChar w:fldCharType="begin"/>
      </w:r>
      <w:r>
        <w:rPr>
          <w:color w:val="auto"/>
        </w:rPr>
        <w:instrText xml:space="preserve"> PAGEREF _Toc79870476 \h </w:instrText>
      </w:r>
      <w:r>
        <w:rPr>
          <w:color w:val="auto"/>
        </w:rPr>
        <w:fldChar w:fldCharType="separate"/>
      </w:r>
      <w:r>
        <w:rPr>
          <w:color w:val="auto"/>
        </w:rPr>
        <w:t>- 14 -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"_Toc79870477" </w:instrText>
      </w:r>
      <w:r>
        <w:rPr>
          <w:color w:val="auto"/>
        </w:rPr>
        <w:fldChar w:fldCharType="separate"/>
      </w:r>
      <w:r>
        <w:rPr>
          <w:rStyle w:val="29"/>
          <w:rFonts w:ascii="楷体" w:hAnsi="楷体" w:eastAsia="楷体" w:cs="楷体"/>
          <w:color w:val="auto"/>
        </w:rPr>
        <w:t>（三）加强群众身边科学健身指导</w:t>
      </w:r>
      <w:r>
        <w:rPr>
          <w:color w:val="auto"/>
        </w:rPr>
        <w:tab/>
      </w:r>
      <w:r>
        <w:rPr>
          <w:color w:val="auto"/>
        </w:rPr>
        <w:fldChar w:fldCharType="begin"/>
      </w:r>
      <w:r>
        <w:rPr>
          <w:color w:val="auto"/>
        </w:rPr>
        <w:instrText xml:space="preserve"> PAGEREF _Toc79870477 \h </w:instrText>
      </w:r>
      <w:r>
        <w:rPr>
          <w:color w:val="auto"/>
        </w:rPr>
        <w:fldChar w:fldCharType="separate"/>
      </w:r>
      <w:r>
        <w:rPr>
          <w:color w:val="auto"/>
        </w:rPr>
        <w:t>- 14 -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"_Toc79870478" </w:instrText>
      </w:r>
      <w:r>
        <w:rPr>
          <w:color w:val="auto"/>
        </w:rPr>
        <w:fldChar w:fldCharType="separate"/>
      </w:r>
      <w:r>
        <w:rPr>
          <w:rStyle w:val="29"/>
          <w:rFonts w:ascii="楷体" w:hAnsi="楷体" w:eastAsia="楷体" w:cs="楷体"/>
          <w:color w:val="auto"/>
        </w:rPr>
        <w:t>（四）完善群众身边体育社会组织</w:t>
      </w:r>
      <w:r>
        <w:rPr>
          <w:color w:val="auto"/>
        </w:rPr>
        <w:tab/>
      </w:r>
      <w:r>
        <w:rPr>
          <w:color w:val="auto"/>
        </w:rPr>
        <w:fldChar w:fldCharType="begin"/>
      </w:r>
      <w:r>
        <w:rPr>
          <w:color w:val="auto"/>
        </w:rPr>
        <w:instrText xml:space="preserve"> PAGEREF _Toc79870478 \h </w:instrText>
      </w:r>
      <w:r>
        <w:rPr>
          <w:color w:val="auto"/>
        </w:rPr>
        <w:fldChar w:fldCharType="separate"/>
      </w:r>
      <w:r>
        <w:rPr>
          <w:color w:val="auto"/>
        </w:rPr>
        <w:t>- 15 -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"_Toc79870479" </w:instrText>
      </w:r>
      <w:r>
        <w:rPr>
          <w:color w:val="auto"/>
        </w:rPr>
        <w:fldChar w:fldCharType="separate"/>
      </w:r>
      <w:r>
        <w:rPr>
          <w:rStyle w:val="29"/>
          <w:rFonts w:ascii="楷体" w:hAnsi="楷体" w:eastAsia="楷体" w:cs="楷体"/>
          <w:color w:val="auto"/>
        </w:rPr>
        <w:t>（五）关注特殊人群体育需求</w:t>
      </w:r>
      <w:r>
        <w:rPr>
          <w:color w:val="auto"/>
        </w:rPr>
        <w:tab/>
      </w:r>
      <w:r>
        <w:rPr>
          <w:color w:val="auto"/>
        </w:rPr>
        <w:fldChar w:fldCharType="begin"/>
      </w:r>
      <w:r>
        <w:rPr>
          <w:color w:val="auto"/>
        </w:rPr>
        <w:instrText xml:space="preserve"> PAGEREF _Toc79870479 \h </w:instrText>
      </w:r>
      <w:r>
        <w:rPr>
          <w:color w:val="auto"/>
        </w:rPr>
        <w:fldChar w:fldCharType="separate"/>
      </w:r>
      <w:r>
        <w:rPr>
          <w:color w:val="auto"/>
        </w:rPr>
        <w:t>- 15 -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"_Toc79870480" </w:instrText>
      </w:r>
      <w:r>
        <w:rPr>
          <w:color w:val="auto"/>
        </w:rPr>
        <w:fldChar w:fldCharType="separate"/>
      </w:r>
      <w:r>
        <w:rPr>
          <w:rStyle w:val="29"/>
          <w:rFonts w:ascii="黑体" w:hAnsi="黑体" w:eastAsia="黑体" w:cs="黑体"/>
          <w:color w:val="auto"/>
        </w:rPr>
        <w:t>二、竞技体育科学化发展</w:t>
      </w:r>
      <w:r>
        <w:rPr>
          <w:color w:val="auto"/>
        </w:rPr>
        <w:tab/>
      </w:r>
      <w:r>
        <w:rPr>
          <w:color w:val="auto"/>
        </w:rPr>
        <w:fldChar w:fldCharType="begin"/>
      </w:r>
      <w:r>
        <w:rPr>
          <w:color w:val="auto"/>
        </w:rPr>
        <w:instrText xml:space="preserve"> PAGEREF _Toc79870480 \h </w:instrText>
      </w:r>
      <w:r>
        <w:rPr>
          <w:color w:val="auto"/>
        </w:rPr>
        <w:fldChar w:fldCharType="separate"/>
      </w:r>
      <w:r>
        <w:rPr>
          <w:color w:val="auto"/>
        </w:rPr>
        <w:t>- 15 -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"_Toc79870481" </w:instrText>
      </w:r>
      <w:r>
        <w:rPr>
          <w:color w:val="auto"/>
        </w:rPr>
        <w:fldChar w:fldCharType="separate"/>
      </w:r>
      <w:r>
        <w:rPr>
          <w:rStyle w:val="29"/>
          <w:rFonts w:ascii="楷体" w:hAnsi="楷体" w:eastAsia="楷体" w:cs="楷体"/>
          <w:color w:val="auto"/>
        </w:rPr>
        <w:t>（六）优化竞技体育项目布局</w:t>
      </w:r>
      <w:r>
        <w:rPr>
          <w:color w:val="auto"/>
        </w:rPr>
        <w:tab/>
      </w:r>
      <w:r>
        <w:rPr>
          <w:color w:val="auto"/>
        </w:rPr>
        <w:fldChar w:fldCharType="begin"/>
      </w:r>
      <w:r>
        <w:rPr>
          <w:color w:val="auto"/>
        </w:rPr>
        <w:instrText xml:space="preserve"> PAGEREF _Toc79870481 \h </w:instrText>
      </w:r>
      <w:r>
        <w:rPr>
          <w:color w:val="auto"/>
        </w:rPr>
        <w:fldChar w:fldCharType="separate"/>
      </w:r>
      <w:r>
        <w:rPr>
          <w:color w:val="auto"/>
        </w:rPr>
        <w:t>- 15 -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"_Toc79870482" </w:instrText>
      </w:r>
      <w:r>
        <w:rPr>
          <w:color w:val="auto"/>
        </w:rPr>
        <w:fldChar w:fldCharType="separate"/>
      </w:r>
      <w:r>
        <w:rPr>
          <w:rStyle w:val="29"/>
          <w:rFonts w:ascii="楷体" w:hAnsi="楷体" w:eastAsia="楷体" w:cs="楷体"/>
          <w:color w:val="auto"/>
        </w:rPr>
        <w:t>（七）完善竞技体育基地建设</w:t>
      </w:r>
      <w:r>
        <w:rPr>
          <w:color w:val="auto"/>
        </w:rPr>
        <w:tab/>
      </w:r>
      <w:r>
        <w:rPr>
          <w:color w:val="auto"/>
        </w:rPr>
        <w:fldChar w:fldCharType="begin"/>
      </w:r>
      <w:r>
        <w:rPr>
          <w:color w:val="auto"/>
        </w:rPr>
        <w:instrText xml:space="preserve"> PAGEREF _Toc79870482 \h </w:instrText>
      </w:r>
      <w:r>
        <w:rPr>
          <w:color w:val="auto"/>
        </w:rPr>
        <w:fldChar w:fldCharType="separate"/>
      </w:r>
      <w:r>
        <w:rPr>
          <w:color w:val="auto"/>
        </w:rPr>
        <w:t>- 16 -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"_Toc79870483" </w:instrText>
      </w:r>
      <w:r>
        <w:rPr>
          <w:color w:val="auto"/>
        </w:rPr>
        <w:fldChar w:fldCharType="separate"/>
      </w:r>
      <w:r>
        <w:rPr>
          <w:rStyle w:val="29"/>
          <w:rFonts w:ascii="楷体" w:hAnsi="楷体" w:eastAsia="楷体" w:cs="楷体"/>
          <w:color w:val="auto"/>
        </w:rPr>
        <w:t>（八）加强竞技体育人才队伍建设</w:t>
      </w:r>
      <w:r>
        <w:rPr>
          <w:color w:val="auto"/>
        </w:rPr>
        <w:tab/>
      </w:r>
      <w:r>
        <w:rPr>
          <w:color w:val="auto"/>
        </w:rPr>
        <w:fldChar w:fldCharType="begin"/>
      </w:r>
      <w:r>
        <w:rPr>
          <w:color w:val="auto"/>
        </w:rPr>
        <w:instrText xml:space="preserve"> PAGEREF _Toc79870483 \h </w:instrText>
      </w:r>
      <w:r>
        <w:rPr>
          <w:color w:val="auto"/>
        </w:rPr>
        <w:fldChar w:fldCharType="separate"/>
      </w:r>
      <w:r>
        <w:rPr>
          <w:color w:val="auto"/>
        </w:rPr>
        <w:t>- 16 -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"_Toc79870484" </w:instrText>
      </w:r>
      <w:r>
        <w:rPr>
          <w:color w:val="auto"/>
        </w:rPr>
        <w:fldChar w:fldCharType="separate"/>
      </w:r>
      <w:r>
        <w:rPr>
          <w:rStyle w:val="29"/>
          <w:rFonts w:ascii="楷体" w:hAnsi="楷体" w:eastAsia="楷体" w:cs="楷体"/>
          <w:color w:val="auto"/>
        </w:rPr>
        <w:t>（九）推进青少年体教融合发展</w:t>
      </w:r>
      <w:r>
        <w:rPr>
          <w:color w:val="auto"/>
        </w:rPr>
        <w:tab/>
      </w:r>
      <w:r>
        <w:rPr>
          <w:color w:val="auto"/>
        </w:rPr>
        <w:fldChar w:fldCharType="begin"/>
      </w:r>
      <w:r>
        <w:rPr>
          <w:color w:val="auto"/>
        </w:rPr>
        <w:instrText xml:space="preserve"> PAGEREF _Toc79870484 \h </w:instrText>
      </w:r>
      <w:r>
        <w:rPr>
          <w:color w:val="auto"/>
        </w:rPr>
        <w:fldChar w:fldCharType="separate"/>
      </w:r>
      <w:r>
        <w:rPr>
          <w:color w:val="auto"/>
        </w:rPr>
        <w:t>- 17 -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"_Toc79870485" </w:instrText>
      </w:r>
      <w:r>
        <w:rPr>
          <w:color w:val="auto"/>
        </w:rPr>
        <w:fldChar w:fldCharType="separate"/>
      </w:r>
      <w:r>
        <w:rPr>
          <w:rStyle w:val="29"/>
          <w:rFonts w:ascii="楷体" w:hAnsi="楷体" w:eastAsia="楷体" w:cs="楷体"/>
          <w:color w:val="auto"/>
        </w:rPr>
        <w:t>（十）加强科技助力竞技体育发展</w:t>
      </w:r>
      <w:r>
        <w:rPr>
          <w:color w:val="auto"/>
        </w:rPr>
        <w:tab/>
      </w:r>
      <w:r>
        <w:rPr>
          <w:color w:val="auto"/>
        </w:rPr>
        <w:fldChar w:fldCharType="begin"/>
      </w:r>
      <w:r>
        <w:rPr>
          <w:color w:val="auto"/>
        </w:rPr>
        <w:instrText xml:space="preserve"> PAGEREF _Toc79870485 \h </w:instrText>
      </w:r>
      <w:r>
        <w:rPr>
          <w:color w:val="auto"/>
        </w:rPr>
        <w:fldChar w:fldCharType="separate"/>
      </w:r>
      <w:r>
        <w:rPr>
          <w:color w:val="auto"/>
        </w:rPr>
        <w:t>- 19 -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"_Toc79870486" </w:instrText>
      </w:r>
      <w:r>
        <w:rPr>
          <w:color w:val="auto"/>
        </w:rPr>
        <w:fldChar w:fldCharType="separate"/>
      </w:r>
      <w:r>
        <w:rPr>
          <w:rStyle w:val="29"/>
          <w:rFonts w:ascii="黑体" w:hAnsi="黑体" w:eastAsia="黑体" w:cs="黑体"/>
          <w:color w:val="auto"/>
        </w:rPr>
        <w:t>三、体育产业高质量发展</w:t>
      </w:r>
      <w:r>
        <w:rPr>
          <w:color w:val="auto"/>
        </w:rPr>
        <w:tab/>
      </w:r>
      <w:r>
        <w:rPr>
          <w:color w:val="auto"/>
        </w:rPr>
        <w:fldChar w:fldCharType="begin"/>
      </w:r>
      <w:r>
        <w:rPr>
          <w:color w:val="auto"/>
        </w:rPr>
        <w:instrText xml:space="preserve"> PAGEREF _Toc79870486 \h </w:instrText>
      </w:r>
      <w:r>
        <w:rPr>
          <w:color w:val="auto"/>
        </w:rPr>
        <w:fldChar w:fldCharType="separate"/>
      </w:r>
      <w:r>
        <w:rPr>
          <w:color w:val="auto"/>
        </w:rPr>
        <w:t>- 19 -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"_Toc79870487" </w:instrText>
      </w:r>
      <w:r>
        <w:rPr>
          <w:color w:val="auto"/>
        </w:rPr>
        <w:fldChar w:fldCharType="separate"/>
      </w:r>
      <w:r>
        <w:rPr>
          <w:rStyle w:val="29"/>
          <w:rFonts w:ascii="楷体" w:hAnsi="楷体" w:eastAsia="楷体" w:cs="楷体"/>
          <w:color w:val="auto"/>
        </w:rPr>
        <w:t>（十一）优化产业环境</w:t>
      </w:r>
      <w:r>
        <w:rPr>
          <w:color w:val="auto"/>
        </w:rPr>
        <w:tab/>
      </w:r>
      <w:r>
        <w:rPr>
          <w:color w:val="auto"/>
        </w:rPr>
        <w:fldChar w:fldCharType="begin"/>
      </w:r>
      <w:r>
        <w:rPr>
          <w:color w:val="auto"/>
        </w:rPr>
        <w:instrText xml:space="preserve"> PAGEREF _Toc79870487 \h </w:instrText>
      </w:r>
      <w:r>
        <w:rPr>
          <w:color w:val="auto"/>
        </w:rPr>
        <w:fldChar w:fldCharType="separate"/>
      </w:r>
      <w:r>
        <w:rPr>
          <w:color w:val="auto"/>
        </w:rPr>
        <w:t>- 19 -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"_Toc79870488" </w:instrText>
      </w:r>
      <w:r>
        <w:rPr>
          <w:color w:val="auto"/>
        </w:rPr>
        <w:fldChar w:fldCharType="separate"/>
      </w:r>
      <w:r>
        <w:rPr>
          <w:rStyle w:val="29"/>
          <w:rFonts w:ascii="楷体" w:hAnsi="楷体" w:eastAsia="楷体" w:cs="楷体"/>
          <w:color w:val="auto"/>
        </w:rPr>
        <w:t>（十二）扩大产业规模</w:t>
      </w:r>
      <w:r>
        <w:rPr>
          <w:color w:val="auto"/>
        </w:rPr>
        <w:tab/>
      </w:r>
      <w:r>
        <w:rPr>
          <w:color w:val="auto"/>
        </w:rPr>
        <w:fldChar w:fldCharType="begin"/>
      </w:r>
      <w:r>
        <w:rPr>
          <w:color w:val="auto"/>
        </w:rPr>
        <w:instrText xml:space="preserve"> PAGEREF _Toc79870488 \h </w:instrText>
      </w:r>
      <w:r>
        <w:rPr>
          <w:color w:val="auto"/>
        </w:rPr>
        <w:fldChar w:fldCharType="separate"/>
      </w:r>
      <w:r>
        <w:rPr>
          <w:color w:val="auto"/>
        </w:rPr>
        <w:t>- 19 -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"_Toc79870489" </w:instrText>
      </w:r>
      <w:r>
        <w:rPr>
          <w:color w:val="auto"/>
        </w:rPr>
        <w:fldChar w:fldCharType="separate"/>
      </w:r>
      <w:r>
        <w:rPr>
          <w:rStyle w:val="29"/>
          <w:rFonts w:ascii="楷体" w:hAnsi="楷体" w:eastAsia="楷体" w:cs="楷体"/>
          <w:color w:val="auto"/>
        </w:rPr>
        <w:t>（十三）培育产业主体</w:t>
      </w:r>
      <w:r>
        <w:rPr>
          <w:color w:val="auto"/>
        </w:rPr>
        <w:tab/>
      </w:r>
      <w:r>
        <w:rPr>
          <w:color w:val="auto"/>
        </w:rPr>
        <w:fldChar w:fldCharType="begin"/>
      </w:r>
      <w:r>
        <w:rPr>
          <w:color w:val="auto"/>
        </w:rPr>
        <w:instrText xml:space="preserve"> PAGEREF _Toc79870489 \h </w:instrText>
      </w:r>
      <w:r>
        <w:rPr>
          <w:color w:val="auto"/>
        </w:rPr>
        <w:fldChar w:fldCharType="separate"/>
      </w:r>
      <w:r>
        <w:rPr>
          <w:color w:val="auto"/>
        </w:rPr>
        <w:t>- 23 -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"_Toc79870490" </w:instrText>
      </w:r>
      <w:r>
        <w:rPr>
          <w:color w:val="auto"/>
        </w:rPr>
        <w:fldChar w:fldCharType="separate"/>
      </w:r>
      <w:r>
        <w:rPr>
          <w:rStyle w:val="29"/>
          <w:rFonts w:ascii="楷体" w:hAnsi="楷体" w:eastAsia="楷体" w:cs="楷体"/>
          <w:color w:val="auto"/>
        </w:rPr>
        <w:t>（十四）推进产业智能发展</w:t>
      </w:r>
      <w:r>
        <w:rPr>
          <w:color w:val="auto"/>
        </w:rPr>
        <w:tab/>
      </w:r>
      <w:r>
        <w:rPr>
          <w:color w:val="auto"/>
        </w:rPr>
        <w:fldChar w:fldCharType="begin"/>
      </w:r>
      <w:r>
        <w:rPr>
          <w:color w:val="auto"/>
        </w:rPr>
        <w:instrText xml:space="preserve"> PAGEREF _Toc79870490 \h </w:instrText>
      </w:r>
      <w:r>
        <w:rPr>
          <w:color w:val="auto"/>
        </w:rPr>
        <w:fldChar w:fldCharType="separate"/>
      </w:r>
      <w:r>
        <w:rPr>
          <w:color w:val="auto"/>
        </w:rPr>
        <w:t>- 23 -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"_Toc79870491" </w:instrText>
      </w:r>
      <w:r>
        <w:rPr>
          <w:color w:val="auto"/>
        </w:rPr>
        <w:fldChar w:fldCharType="separate"/>
      </w:r>
      <w:r>
        <w:rPr>
          <w:rStyle w:val="29"/>
          <w:rFonts w:ascii="楷体" w:hAnsi="楷体" w:eastAsia="楷体" w:cs="楷体"/>
          <w:color w:val="auto"/>
        </w:rPr>
        <w:t>（十五）加强产业人才培养</w:t>
      </w:r>
      <w:r>
        <w:rPr>
          <w:color w:val="auto"/>
        </w:rPr>
        <w:tab/>
      </w:r>
      <w:r>
        <w:rPr>
          <w:color w:val="auto"/>
        </w:rPr>
        <w:fldChar w:fldCharType="begin"/>
      </w:r>
      <w:r>
        <w:rPr>
          <w:color w:val="auto"/>
        </w:rPr>
        <w:instrText xml:space="preserve"> PAGEREF _Toc79870491 \h </w:instrText>
      </w:r>
      <w:r>
        <w:rPr>
          <w:color w:val="auto"/>
        </w:rPr>
        <w:fldChar w:fldCharType="separate"/>
      </w:r>
      <w:r>
        <w:rPr>
          <w:color w:val="auto"/>
        </w:rPr>
        <w:t>- 24 -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"_Toc79870492" </w:instrText>
      </w:r>
      <w:r>
        <w:rPr>
          <w:color w:val="auto"/>
        </w:rPr>
        <w:fldChar w:fldCharType="separate"/>
      </w:r>
      <w:r>
        <w:rPr>
          <w:rStyle w:val="29"/>
          <w:rFonts w:ascii="黑体" w:hAnsi="黑体" w:eastAsia="黑体" w:cs="黑体"/>
          <w:color w:val="auto"/>
        </w:rPr>
        <w:t>四、体育文化品牌化发展</w:t>
      </w:r>
      <w:r>
        <w:rPr>
          <w:color w:val="auto"/>
        </w:rPr>
        <w:tab/>
      </w:r>
      <w:r>
        <w:rPr>
          <w:color w:val="auto"/>
        </w:rPr>
        <w:fldChar w:fldCharType="begin"/>
      </w:r>
      <w:r>
        <w:rPr>
          <w:color w:val="auto"/>
        </w:rPr>
        <w:instrText xml:space="preserve"> PAGEREF _Toc79870492 \h </w:instrText>
      </w:r>
      <w:r>
        <w:rPr>
          <w:color w:val="auto"/>
        </w:rPr>
        <w:fldChar w:fldCharType="separate"/>
      </w:r>
      <w:r>
        <w:rPr>
          <w:color w:val="auto"/>
        </w:rPr>
        <w:t>- 24 -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"_Toc79870493" </w:instrText>
      </w:r>
      <w:r>
        <w:rPr>
          <w:color w:val="auto"/>
        </w:rPr>
        <w:fldChar w:fldCharType="separate"/>
      </w:r>
      <w:r>
        <w:rPr>
          <w:rStyle w:val="29"/>
          <w:rFonts w:ascii="楷体" w:hAnsi="楷体" w:eastAsia="楷体" w:cs="楷体"/>
          <w:color w:val="auto"/>
        </w:rPr>
        <w:t>（十六）挖掘城市体育文化</w:t>
      </w:r>
      <w:r>
        <w:rPr>
          <w:color w:val="auto"/>
        </w:rPr>
        <w:tab/>
      </w:r>
      <w:r>
        <w:rPr>
          <w:color w:val="auto"/>
        </w:rPr>
        <w:fldChar w:fldCharType="begin"/>
      </w:r>
      <w:r>
        <w:rPr>
          <w:color w:val="auto"/>
        </w:rPr>
        <w:instrText xml:space="preserve"> PAGEREF _Toc79870493 \h </w:instrText>
      </w:r>
      <w:r>
        <w:rPr>
          <w:color w:val="auto"/>
        </w:rPr>
        <w:fldChar w:fldCharType="separate"/>
      </w:r>
      <w:r>
        <w:rPr>
          <w:color w:val="auto"/>
        </w:rPr>
        <w:t>- 24 -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"_Toc79870494" </w:instrText>
      </w:r>
      <w:r>
        <w:rPr>
          <w:color w:val="auto"/>
        </w:rPr>
        <w:fldChar w:fldCharType="separate"/>
      </w:r>
      <w:r>
        <w:rPr>
          <w:rStyle w:val="29"/>
          <w:rFonts w:ascii="楷体" w:hAnsi="楷体" w:eastAsia="楷体" w:cs="楷体"/>
          <w:color w:val="auto"/>
        </w:rPr>
        <w:t>（十七）推广运动项目文化</w:t>
      </w:r>
      <w:r>
        <w:rPr>
          <w:color w:val="auto"/>
        </w:rPr>
        <w:tab/>
      </w:r>
      <w:r>
        <w:rPr>
          <w:color w:val="auto"/>
        </w:rPr>
        <w:fldChar w:fldCharType="begin"/>
      </w:r>
      <w:r>
        <w:rPr>
          <w:color w:val="auto"/>
        </w:rPr>
        <w:instrText xml:space="preserve"> PAGEREF _Toc79870494 \h </w:instrText>
      </w:r>
      <w:r>
        <w:rPr>
          <w:color w:val="auto"/>
        </w:rPr>
        <w:fldChar w:fldCharType="separate"/>
      </w:r>
      <w:r>
        <w:rPr>
          <w:color w:val="auto"/>
        </w:rPr>
        <w:t>- 25 -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"_Toc79870495" </w:instrText>
      </w:r>
      <w:r>
        <w:rPr>
          <w:color w:val="auto"/>
        </w:rPr>
        <w:fldChar w:fldCharType="separate"/>
      </w:r>
      <w:r>
        <w:rPr>
          <w:rStyle w:val="29"/>
          <w:rFonts w:ascii="楷体" w:hAnsi="楷体" w:eastAsia="楷体" w:cs="楷体"/>
          <w:color w:val="auto"/>
        </w:rPr>
        <w:t>（十八）加强体育文化传播</w:t>
      </w:r>
      <w:r>
        <w:rPr>
          <w:color w:val="auto"/>
        </w:rPr>
        <w:tab/>
      </w:r>
      <w:r>
        <w:rPr>
          <w:color w:val="auto"/>
        </w:rPr>
        <w:fldChar w:fldCharType="begin"/>
      </w:r>
      <w:r>
        <w:rPr>
          <w:color w:val="auto"/>
        </w:rPr>
        <w:instrText xml:space="preserve"> PAGEREF _Toc79870495 \h </w:instrText>
      </w:r>
      <w:r>
        <w:rPr>
          <w:color w:val="auto"/>
        </w:rPr>
        <w:fldChar w:fldCharType="separate"/>
      </w:r>
      <w:r>
        <w:rPr>
          <w:color w:val="auto"/>
        </w:rPr>
        <w:t>- 25 -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"_Toc79870496" </w:instrText>
      </w:r>
      <w:r>
        <w:rPr>
          <w:color w:val="auto"/>
        </w:rPr>
        <w:fldChar w:fldCharType="separate"/>
      </w:r>
      <w:r>
        <w:rPr>
          <w:rStyle w:val="29"/>
          <w:rFonts w:ascii="黑体" w:hAnsi="黑体" w:eastAsia="黑体" w:cs="黑体"/>
          <w:color w:val="auto"/>
        </w:rPr>
        <w:t>五、 体育改革纵深化发展</w:t>
      </w:r>
      <w:r>
        <w:rPr>
          <w:color w:val="auto"/>
        </w:rPr>
        <w:tab/>
      </w:r>
      <w:r>
        <w:rPr>
          <w:color w:val="auto"/>
        </w:rPr>
        <w:fldChar w:fldCharType="begin"/>
      </w:r>
      <w:r>
        <w:rPr>
          <w:color w:val="auto"/>
        </w:rPr>
        <w:instrText xml:space="preserve"> PAGEREF _Toc79870496 \h </w:instrText>
      </w:r>
      <w:r>
        <w:rPr>
          <w:color w:val="auto"/>
        </w:rPr>
        <w:fldChar w:fldCharType="separate"/>
      </w:r>
      <w:r>
        <w:rPr>
          <w:color w:val="auto"/>
        </w:rPr>
        <w:t>- 26 -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"_Toc79870497" </w:instrText>
      </w:r>
      <w:r>
        <w:rPr>
          <w:color w:val="auto"/>
        </w:rPr>
        <w:fldChar w:fldCharType="separate"/>
      </w:r>
      <w:r>
        <w:rPr>
          <w:rStyle w:val="29"/>
          <w:rFonts w:ascii="楷体" w:hAnsi="楷体" w:eastAsia="楷体" w:cs="楷体"/>
          <w:color w:val="auto"/>
        </w:rPr>
        <w:t>（十九）创新场馆经营</w:t>
      </w:r>
      <w:r>
        <w:rPr>
          <w:color w:val="auto"/>
        </w:rPr>
        <w:tab/>
      </w:r>
      <w:r>
        <w:rPr>
          <w:color w:val="auto"/>
        </w:rPr>
        <w:fldChar w:fldCharType="begin"/>
      </w:r>
      <w:r>
        <w:rPr>
          <w:color w:val="auto"/>
        </w:rPr>
        <w:instrText xml:space="preserve"> PAGEREF _Toc79870497 \h </w:instrText>
      </w:r>
      <w:r>
        <w:rPr>
          <w:color w:val="auto"/>
        </w:rPr>
        <w:fldChar w:fldCharType="separate"/>
      </w:r>
      <w:r>
        <w:rPr>
          <w:color w:val="auto"/>
        </w:rPr>
        <w:t>- 26 -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"_Toc79870498" </w:instrText>
      </w:r>
      <w:r>
        <w:rPr>
          <w:color w:val="auto"/>
        </w:rPr>
        <w:fldChar w:fldCharType="separate"/>
      </w:r>
      <w:r>
        <w:rPr>
          <w:rStyle w:val="29"/>
          <w:rFonts w:ascii="楷体" w:hAnsi="楷体" w:eastAsia="楷体" w:cs="楷体"/>
          <w:color w:val="auto"/>
        </w:rPr>
        <w:t>（二十）完善竞赛体系</w:t>
      </w:r>
      <w:r>
        <w:rPr>
          <w:color w:val="auto"/>
        </w:rPr>
        <w:tab/>
      </w:r>
      <w:r>
        <w:rPr>
          <w:color w:val="auto"/>
        </w:rPr>
        <w:fldChar w:fldCharType="begin"/>
      </w:r>
      <w:r>
        <w:rPr>
          <w:color w:val="auto"/>
        </w:rPr>
        <w:instrText xml:space="preserve"> PAGEREF _Toc79870498 \h </w:instrText>
      </w:r>
      <w:r>
        <w:rPr>
          <w:color w:val="auto"/>
        </w:rPr>
        <w:fldChar w:fldCharType="separate"/>
      </w:r>
      <w:r>
        <w:rPr>
          <w:color w:val="auto"/>
        </w:rPr>
        <w:t>- 26 -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"_Toc79870499" </w:instrText>
      </w:r>
      <w:r>
        <w:rPr>
          <w:color w:val="auto"/>
        </w:rPr>
        <w:fldChar w:fldCharType="separate"/>
      </w:r>
      <w:r>
        <w:rPr>
          <w:rStyle w:val="29"/>
          <w:rFonts w:ascii="楷体" w:hAnsi="楷体" w:eastAsia="楷体" w:cs="楷体"/>
          <w:color w:val="auto"/>
        </w:rPr>
        <w:t>（二十一）改革体育组织</w:t>
      </w:r>
      <w:r>
        <w:rPr>
          <w:color w:val="auto"/>
        </w:rPr>
        <w:tab/>
      </w:r>
      <w:r>
        <w:rPr>
          <w:color w:val="auto"/>
        </w:rPr>
        <w:fldChar w:fldCharType="begin"/>
      </w:r>
      <w:r>
        <w:rPr>
          <w:color w:val="auto"/>
        </w:rPr>
        <w:instrText xml:space="preserve"> PAGEREF _Toc79870499 \h </w:instrText>
      </w:r>
      <w:r>
        <w:rPr>
          <w:color w:val="auto"/>
        </w:rPr>
        <w:fldChar w:fldCharType="separate"/>
      </w:r>
      <w:r>
        <w:rPr>
          <w:color w:val="auto"/>
        </w:rPr>
        <w:t>- 27 -</w:t>
      </w:r>
      <w:r>
        <w:rPr>
          <w:color w:val="auto"/>
        </w:rPr>
        <w:fldChar w:fldCharType="end"/>
      </w:r>
      <w:r>
        <w:rPr>
          <w:color w:val="auto"/>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"_Toc79870500" </w:instrText>
      </w:r>
      <w:r>
        <w:rPr>
          <w:color w:val="auto"/>
        </w:rPr>
        <w:fldChar w:fldCharType="separate"/>
      </w:r>
      <w:r>
        <w:rPr>
          <w:rStyle w:val="29"/>
          <w:rFonts w:ascii="楷体" w:hAnsi="楷体" w:eastAsia="楷体" w:cs="楷体"/>
          <w:color w:val="auto"/>
        </w:rPr>
        <w:t>（二十二）建立行业规范</w:t>
      </w:r>
      <w:r>
        <w:rPr>
          <w:color w:val="auto"/>
        </w:rPr>
        <w:tab/>
      </w:r>
      <w:r>
        <w:rPr>
          <w:color w:val="auto"/>
        </w:rPr>
        <w:fldChar w:fldCharType="begin"/>
      </w:r>
      <w:r>
        <w:rPr>
          <w:color w:val="auto"/>
        </w:rPr>
        <w:instrText xml:space="preserve"> PAGEREF _Toc79870500 \h </w:instrText>
      </w:r>
      <w:r>
        <w:rPr>
          <w:color w:val="auto"/>
        </w:rPr>
        <w:fldChar w:fldCharType="separate"/>
      </w:r>
      <w:r>
        <w:rPr>
          <w:color w:val="auto"/>
        </w:rPr>
        <w:t>- 27 -</w:t>
      </w:r>
      <w:r>
        <w:rPr>
          <w:color w:val="auto"/>
        </w:rPr>
        <w:fldChar w:fldCharType="end"/>
      </w:r>
      <w:r>
        <w:rPr>
          <w:color w:val="auto"/>
        </w:rPr>
        <w:fldChar w:fldCharType="end"/>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"_Toc79870501" </w:instrText>
      </w:r>
      <w:r>
        <w:rPr>
          <w:color w:val="auto"/>
        </w:rPr>
        <w:fldChar w:fldCharType="separate"/>
      </w:r>
      <w:r>
        <w:rPr>
          <w:rStyle w:val="29"/>
          <w:rFonts w:ascii="宋体" w:hAnsi="宋体" w:cs="宋体"/>
          <w:color w:val="auto"/>
        </w:rPr>
        <w:t>第四章 保障措施</w:t>
      </w:r>
      <w:r>
        <w:rPr>
          <w:color w:val="auto"/>
        </w:rPr>
        <w:tab/>
      </w:r>
      <w:r>
        <w:rPr>
          <w:color w:val="auto"/>
        </w:rPr>
        <w:fldChar w:fldCharType="begin"/>
      </w:r>
      <w:r>
        <w:rPr>
          <w:color w:val="auto"/>
        </w:rPr>
        <w:instrText xml:space="preserve"> PAGEREF _Toc79870501 \h </w:instrText>
      </w:r>
      <w:r>
        <w:rPr>
          <w:color w:val="auto"/>
        </w:rPr>
        <w:fldChar w:fldCharType="separate"/>
      </w:r>
      <w:r>
        <w:rPr>
          <w:color w:val="auto"/>
        </w:rPr>
        <w:t>- 28 -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"_Toc79870502" </w:instrText>
      </w:r>
      <w:r>
        <w:rPr>
          <w:color w:val="auto"/>
        </w:rPr>
        <w:fldChar w:fldCharType="separate"/>
      </w:r>
      <w:r>
        <w:rPr>
          <w:rStyle w:val="29"/>
          <w:rFonts w:ascii="黑体" w:hAnsi="黑体" w:eastAsia="黑体" w:cs="黑体"/>
          <w:color w:val="auto"/>
        </w:rPr>
        <w:t>一、组织保障</w:t>
      </w:r>
      <w:r>
        <w:rPr>
          <w:color w:val="auto"/>
        </w:rPr>
        <w:tab/>
      </w:r>
      <w:r>
        <w:rPr>
          <w:color w:val="auto"/>
        </w:rPr>
        <w:fldChar w:fldCharType="begin"/>
      </w:r>
      <w:r>
        <w:rPr>
          <w:color w:val="auto"/>
        </w:rPr>
        <w:instrText xml:space="preserve"> PAGEREF _Toc79870502 \h </w:instrText>
      </w:r>
      <w:r>
        <w:rPr>
          <w:color w:val="auto"/>
        </w:rPr>
        <w:fldChar w:fldCharType="separate"/>
      </w:r>
      <w:r>
        <w:rPr>
          <w:color w:val="auto"/>
        </w:rPr>
        <w:t>- 28 -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"_Toc79870503" </w:instrText>
      </w:r>
      <w:r>
        <w:rPr>
          <w:color w:val="auto"/>
        </w:rPr>
        <w:fldChar w:fldCharType="separate"/>
      </w:r>
      <w:r>
        <w:rPr>
          <w:rStyle w:val="29"/>
          <w:rFonts w:ascii="黑体" w:hAnsi="黑体" w:eastAsia="黑体" w:cs="黑体"/>
          <w:color w:val="auto"/>
        </w:rPr>
        <w:t>二、政策保障</w:t>
      </w:r>
      <w:r>
        <w:rPr>
          <w:color w:val="auto"/>
        </w:rPr>
        <w:tab/>
      </w:r>
      <w:r>
        <w:rPr>
          <w:color w:val="auto"/>
        </w:rPr>
        <w:fldChar w:fldCharType="begin"/>
      </w:r>
      <w:r>
        <w:rPr>
          <w:color w:val="auto"/>
        </w:rPr>
        <w:instrText xml:space="preserve"> PAGEREF _Toc79870503 \h </w:instrText>
      </w:r>
      <w:r>
        <w:rPr>
          <w:color w:val="auto"/>
        </w:rPr>
        <w:fldChar w:fldCharType="separate"/>
      </w:r>
      <w:r>
        <w:rPr>
          <w:color w:val="auto"/>
        </w:rPr>
        <w:t>- 28 -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"_Toc79870504" </w:instrText>
      </w:r>
      <w:r>
        <w:rPr>
          <w:color w:val="auto"/>
        </w:rPr>
        <w:fldChar w:fldCharType="separate"/>
      </w:r>
      <w:r>
        <w:rPr>
          <w:rStyle w:val="29"/>
          <w:rFonts w:ascii="黑体" w:hAnsi="黑体" w:eastAsia="黑体" w:cs="黑体"/>
          <w:color w:val="auto"/>
        </w:rPr>
        <w:t>三、资金保障</w:t>
      </w:r>
      <w:r>
        <w:rPr>
          <w:color w:val="auto"/>
        </w:rPr>
        <w:tab/>
      </w:r>
      <w:r>
        <w:rPr>
          <w:color w:val="auto"/>
        </w:rPr>
        <w:fldChar w:fldCharType="begin"/>
      </w:r>
      <w:r>
        <w:rPr>
          <w:color w:val="auto"/>
        </w:rPr>
        <w:instrText xml:space="preserve"> PAGEREF _Toc79870504 \h </w:instrText>
      </w:r>
      <w:r>
        <w:rPr>
          <w:color w:val="auto"/>
        </w:rPr>
        <w:fldChar w:fldCharType="separate"/>
      </w:r>
      <w:r>
        <w:rPr>
          <w:color w:val="auto"/>
        </w:rPr>
        <w:t>- 28 -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"_Toc79870505" </w:instrText>
      </w:r>
      <w:r>
        <w:rPr>
          <w:color w:val="auto"/>
        </w:rPr>
        <w:fldChar w:fldCharType="separate"/>
      </w:r>
      <w:r>
        <w:rPr>
          <w:rStyle w:val="29"/>
          <w:rFonts w:ascii="黑体" w:hAnsi="黑体" w:eastAsia="黑体" w:cs="黑体"/>
          <w:color w:val="auto"/>
        </w:rPr>
        <w:t>四、用地保障</w:t>
      </w:r>
      <w:r>
        <w:rPr>
          <w:color w:val="auto"/>
        </w:rPr>
        <w:tab/>
      </w:r>
      <w:r>
        <w:rPr>
          <w:color w:val="auto"/>
        </w:rPr>
        <w:fldChar w:fldCharType="begin"/>
      </w:r>
      <w:r>
        <w:rPr>
          <w:color w:val="auto"/>
        </w:rPr>
        <w:instrText xml:space="preserve"> PAGEREF _Toc79870505 \h </w:instrText>
      </w:r>
      <w:r>
        <w:rPr>
          <w:color w:val="auto"/>
        </w:rPr>
        <w:fldChar w:fldCharType="separate"/>
      </w:r>
      <w:r>
        <w:rPr>
          <w:color w:val="auto"/>
        </w:rPr>
        <w:t>- 29 -</w:t>
      </w:r>
      <w:r>
        <w:rPr>
          <w:color w:val="auto"/>
        </w:rPr>
        <w:fldChar w:fldCharType="end"/>
      </w:r>
      <w:r>
        <w:rPr>
          <w:color w:val="auto"/>
        </w:rPr>
        <w:fldChar w:fldCharType="end"/>
      </w:r>
    </w:p>
    <w:p>
      <w:pPr>
        <w:pStyle w:val="16"/>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rPr>
      </w:pPr>
      <w:r>
        <w:rPr>
          <w:color w:val="auto"/>
        </w:rPr>
        <w:fldChar w:fldCharType="begin"/>
      </w:r>
      <w:r>
        <w:rPr>
          <w:color w:val="auto"/>
        </w:rPr>
        <w:instrText xml:space="preserve"> HYPERLINK \l "_Toc79870506" </w:instrText>
      </w:r>
      <w:r>
        <w:rPr>
          <w:color w:val="auto"/>
        </w:rPr>
        <w:fldChar w:fldCharType="separate"/>
      </w:r>
      <w:r>
        <w:rPr>
          <w:rStyle w:val="29"/>
          <w:rFonts w:ascii="黑体" w:hAnsi="黑体" w:eastAsia="黑体" w:cs="黑体"/>
          <w:color w:val="auto"/>
        </w:rPr>
        <w:t>五、法治保障</w:t>
      </w:r>
      <w:r>
        <w:rPr>
          <w:color w:val="auto"/>
        </w:rPr>
        <w:tab/>
      </w:r>
      <w:r>
        <w:rPr>
          <w:color w:val="auto"/>
        </w:rPr>
        <w:fldChar w:fldCharType="begin"/>
      </w:r>
      <w:r>
        <w:rPr>
          <w:color w:val="auto"/>
        </w:rPr>
        <w:instrText xml:space="preserve"> PAGEREF _Toc79870506 \h </w:instrText>
      </w:r>
      <w:r>
        <w:rPr>
          <w:color w:val="auto"/>
        </w:rPr>
        <w:fldChar w:fldCharType="separate"/>
      </w:r>
      <w:r>
        <w:rPr>
          <w:color w:val="auto"/>
        </w:rPr>
        <w:t>- 29 -</w:t>
      </w:r>
      <w:r>
        <w:rPr>
          <w:color w:val="auto"/>
        </w:rPr>
        <w:fldChar w:fldCharType="end"/>
      </w:r>
      <w:r>
        <w:rPr>
          <w:color w:val="auto"/>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方正黑体_GBK" w:hAnsi="方正黑体_GBK" w:eastAsia="方正黑体_GBK" w:cs="方正黑体_GBK"/>
          <w:color w:val="auto"/>
          <w:lang w:val="en-US" w:eastAsia="zh"/>
        </w:rPr>
      </w:pPr>
      <w:r>
        <w:rPr>
          <w:rFonts w:hint="eastAsia" w:ascii="方正黑体_GBK" w:hAnsi="方正黑体_GBK" w:eastAsia="方正黑体_GBK" w:cs="方正黑体_GBK"/>
          <w:color w:val="auto"/>
          <w:lang w:eastAsia="zh-CN"/>
        </w:rPr>
        <w:t>六、人才保障</w:t>
      </w:r>
      <w:r>
        <w:rPr>
          <w:rFonts w:hint="eastAsia" w:ascii="方正黑体_GBK" w:hAnsi="方正黑体_GBK" w:eastAsia="方正黑体_GBK" w:cs="方正黑体_GBK"/>
          <w:color w:val="auto"/>
          <w:lang w:val="en-US" w:eastAsia="zh"/>
        </w:rPr>
        <w:t>........................................................................................................</w:t>
      </w:r>
      <w:r>
        <w:rPr>
          <w:color w:val="auto"/>
        </w:rPr>
        <w:fldChar w:fldCharType="begin"/>
      </w:r>
      <w:r>
        <w:rPr>
          <w:color w:val="auto"/>
        </w:rPr>
        <w:instrText xml:space="preserve"> PAGEREF _Toc79870506 \h </w:instrText>
      </w:r>
      <w:r>
        <w:rPr>
          <w:color w:val="auto"/>
        </w:rPr>
        <w:fldChar w:fldCharType="separate"/>
      </w:r>
      <w:r>
        <w:rPr>
          <w:color w:val="auto"/>
        </w:rPr>
        <w:t xml:space="preserve">- </w:t>
      </w:r>
      <w:r>
        <w:rPr>
          <w:rFonts w:hint="eastAsia"/>
          <w:color w:val="auto"/>
          <w:lang w:val="en-US" w:eastAsia="zh-CN"/>
        </w:rPr>
        <w:t>30</w:t>
      </w:r>
      <w:r>
        <w:rPr>
          <w:color w:val="auto"/>
        </w:rPr>
        <w:t xml:space="preserve"> -</w:t>
      </w:r>
      <w:r>
        <w:rPr>
          <w:color w:val="auto"/>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方正黑体_GBK" w:hAnsi="方正黑体_GBK" w:eastAsia="方正黑体_GBK" w:cs="方正黑体_GBK"/>
          <w:color w:val="auto"/>
          <w:lang w:eastAsia="zh-CN"/>
        </w:rPr>
      </w:pPr>
      <w:r>
        <w:rPr>
          <w:rFonts w:hint="eastAsia" w:ascii="方正黑体_GBK" w:hAnsi="方正黑体_GBK" w:eastAsia="方正黑体_GBK" w:cs="方正黑体_GBK"/>
          <w:color w:val="auto"/>
          <w:lang w:eastAsia="zh-CN"/>
        </w:rPr>
        <w:t>七、安全保障</w:t>
      </w:r>
      <w:r>
        <w:rPr>
          <w:rFonts w:hint="eastAsia" w:ascii="方正黑体_GBK" w:hAnsi="方正黑体_GBK" w:eastAsia="方正黑体_GBK" w:cs="方正黑体_GBK"/>
          <w:color w:val="auto"/>
          <w:lang w:val="en-US" w:eastAsia="zh"/>
        </w:rPr>
        <w:t>..........................................................................................................</w:t>
      </w:r>
      <w:r>
        <w:rPr>
          <w:color w:val="auto"/>
        </w:rPr>
        <w:fldChar w:fldCharType="begin"/>
      </w:r>
      <w:r>
        <w:rPr>
          <w:color w:val="auto"/>
        </w:rPr>
        <w:instrText xml:space="preserve"> PAGEREF _Toc79870506 \h </w:instrText>
      </w:r>
      <w:r>
        <w:rPr>
          <w:color w:val="auto"/>
        </w:rPr>
        <w:fldChar w:fldCharType="separate"/>
      </w:r>
      <w:r>
        <w:rPr>
          <w:color w:val="auto"/>
        </w:rPr>
        <w:t xml:space="preserve">- </w:t>
      </w:r>
      <w:r>
        <w:rPr>
          <w:rFonts w:hint="eastAsia"/>
          <w:color w:val="auto"/>
          <w:lang w:val="en-US" w:eastAsia="zh-CN"/>
        </w:rPr>
        <w:t>30</w:t>
      </w:r>
      <w:r>
        <w:rPr>
          <w:color w:val="auto"/>
        </w:rPr>
        <w:t xml:space="preserve"> -</w:t>
      </w:r>
      <w:r>
        <w:rPr>
          <w:color w:val="auto"/>
        </w:rPr>
        <w:fldChar w:fldCharType="end"/>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"_Toc79870507" </w:instrText>
      </w:r>
      <w:r>
        <w:rPr>
          <w:color w:val="auto"/>
        </w:rPr>
        <w:fldChar w:fldCharType="separate"/>
      </w:r>
      <w:r>
        <w:rPr>
          <w:rStyle w:val="29"/>
          <w:rFonts w:ascii="黑体" w:hAnsi="黑体" w:eastAsia="黑体"/>
          <w:color w:val="auto"/>
        </w:rPr>
        <w:t>附件：1</w:t>
      </w:r>
      <w:r>
        <w:rPr>
          <w:color w:val="auto"/>
        </w:rPr>
        <w:tab/>
      </w:r>
      <w:r>
        <w:rPr>
          <w:color w:val="auto"/>
        </w:rPr>
        <w:fldChar w:fldCharType="begin"/>
      </w:r>
      <w:r>
        <w:rPr>
          <w:color w:val="auto"/>
        </w:rPr>
        <w:instrText xml:space="preserve"> PAGEREF _Toc79870507 \h </w:instrText>
      </w:r>
      <w:r>
        <w:rPr>
          <w:color w:val="auto"/>
        </w:rPr>
        <w:fldChar w:fldCharType="separate"/>
      </w:r>
      <w:r>
        <w:rPr>
          <w:color w:val="auto"/>
        </w:rPr>
        <w:t>- 31 -</w:t>
      </w:r>
      <w:r>
        <w:rPr>
          <w:color w:val="auto"/>
        </w:rPr>
        <w:fldChar w:fldCharType="end"/>
      </w:r>
      <w:r>
        <w:rPr>
          <w:color w:val="auto"/>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"_Toc79870508" </w:instrText>
      </w:r>
      <w:r>
        <w:rPr>
          <w:color w:val="auto"/>
        </w:rPr>
        <w:fldChar w:fldCharType="separate"/>
      </w:r>
      <w:r>
        <w:rPr>
          <w:rStyle w:val="29"/>
          <w:rFonts w:ascii="宋体" w:hAnsi="宋体" w:cs="宋体"/>
          <w:color w:val="auto"/>
        </w:rPr>
        <w:t>“十四五”期间焦作体育发展主要指标</w:t>
      </w:r>
      <w:r>
        <w:rPr>
          <w:color w:val="auto"/>
        </w:rPr>
        <w:tab/>
      </w:r>
      <w:r>
        <w:rPr>
          <w:color w:val="auto"/>
        </w:rPr>
        <w:fldChar w:fldCharType="begin"/>
      </w:r>
      <w:r>
        <w:rPr>
          <w:color w:val="auto"/>
        </w:rPr>
        <w:instrText xml:space="preserve"> PAGEREF _Toc79870508 \h </w:instrText>
      </w:r>
      <w:r>
        <w:rPr>
          <w:color w:val="auto"/>
        </w:rPr>
        <w:fldChar w:fldCharType="separate"/>
      </w:r>
      <w:r>
        <w:rPr>
          <w:color w:val="auto"/>
        </w:rPr>
        <w:t>- 31 -</w:t>
      </w:r>
      <w:r>
        <w:rPr>
          <w:color w:val="auto"/>
        </w:rPr>
        <w:fldChar w:fldCharType="end"/>
      </w:r>
      <w:r>
        <w:rPr>
          <w:color w:val="auto"/>
        </w:rPr>
        <w:fldChar w:fldCharType="end"/>
      </w:r>
    </w:p>
    <w:p>
      <w:pPr>
        <w:pStyle w:val="14"/>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"_Toc79870509" </w:instrText>
      </w:r>
      <w:r>
        <w:rPr>
          <w:color w:val="auto"/>
        </w:rPr>
        <w:fldChar w:fldCharType="separate"/>
      </w:r>
      <w:r>
        <w:rPr>
          <w:rStyle w:val="29"/>
          <w:rFonts w:ascii="黑体" w:hAnsi="黑体" w:eastAsia="黑体" w:cs="黑体"/>
          <w:color w:val="auto"/>
        </w:rPr>
        <w:t>附件2：</w:t>
      </w:r>
      <w:r>
        <w:rPr>
          <w:color w:val="auto"/>
        </w:rPr>
        <w:tab/>
      </w:r>
      <w:r>
        <w:rPr>
          <w:color w:val="auto"/>
        </w:rPr>
        <w:fldChar w:fldCharType="begin"/>
      </w:r>
      <w:r>
        <w:rPr>
          <w:color w:val="auto"/>
        </w:rPr>
        <w:instrText xml:space="preserve"> PAGEREF _Toc79870509 \h </w:instrText>
      </w:r>
      <w:r>
        <w:rPr>
          <w:color w:val="auto"/>
        </w:rPr>
        <w:fldChar w:fldCharType="separate"/>
      </w:r>
      <w:r>
        <w:rPr>
          <w:color w:val="auto"/>
        </w:rPr>
        <w:t>- 33 -</w:t>
      </w:r>
      <w:r>
        <w:rPr>
          <w:color w:val="auto"/>
        </w:rPr>
        <w:fldChar w:fldCharType="end"/>
      </w:r>
      <w:r>
        <w:rPr>
          <w:color w:val="auto"/>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rPr>
        <w:fldChar w:fldCharType="begin"/>
      </w:r>
      <w:r>
        <w:rPr>
          <w:color w:val="auto"/>
        </w:rPr>
        <w:instrText xml:space="preserve"> HYPERLINK \l "_Toc79870510" </w:instrText>
      </w:r>
      <w:r>
        <w:rPr>
          <w:color w:val="auto"/>
        </w:rPr>
        <w:fldChar w:fldCharType="separate"/>
      </w:r>
      <w:r>
        <w:rPr>
          <w:rStyle w:val="29"/>
          <w:rFonts w:ascii="宋体" w:hAnsi="宋体" w:cs="宋体"/>
          <w:b w:val="0"/>
          <w:bCs w:val="0"/>
          <w:color w:val="auto"/>
        </w:rPr>
        <w:t>“十四五”期间焦作体育发展重大工程</w:t>
      </w:r>
      <w:r>
        <w:rPr>
          <w:color w:val="auto"/>
        </w:rPr>
        <w:tab/>
      </w:r>
      <w:r>
        <w:rPr>
          <w:color w:val="auto"/>
        </w:rPr>
        <w:fldChar w:fldCharType="begin"/>
      </w:r>
      <w:r>
        <w:rPr>
          <w:color w:val="auto"/>
        </w:rPr>
        <w:instrText xml:space="preserve"> PAGEREF _Toc79870510 \h </w:instrText>
      </w:r>
      <w:r>
        <w:rPr>
          <w:color w:val="auto"/>
        </w:rPr>
        <w:fldChar w:fldCharType="separate"/>
      </w:r>
      <w:r>
        <w:rPr>
          <w:color w:val="auto"/>
        </w:rPr>
        <w:t>- 33 -</w:t>
      </w:r>
      <w:r>
        <w:rPr>
          <w:color w:val="auto"/>
        </w:rPr>
        <w:fldChar w:fldCharType="end"/>
      </w:r>
      <w:r>
        <w:rPr>
          <w:color w:val="auto"/>
        </w:rPr>
        <w:fldChar w:fldCharType="end"/>
      </w:r>
    </w:p>
    <w:p>
      <w:pPr>
        <w:pStyle w:val="2"/>
        <w:pageBreakBefore w:val="0"/>
        <w:widowControl w:val="0"/>
        <w:tabs>
          <w:tab w:val="left" w:pos="437"/>
          <w:tab w:val="center" w:pos="4153"/>
        </w:tabs>
        <w:kinsoku/>
        <w:wordWrap/>
        <w:overflowPunct/>
        <w:topLinePunct w:val="0"/>
        <w:autoSpaceDE/>
        <w:autoSpaceDN/>
        <w:bidi w:val="0"/>
        <w:adjustRightInd/>
        <w:snapToGrid/>
        <w:spacing w:before="0" w:after="0" w:line="500" w:lineRule="exact"/>
        <w:ind w:left="0" w:leftChars="0" w:firstLine="880" w:firstLineChars="200"/>
        <w:jc w:val="left"/>
        <w:textAlignment w:val="auto"/>
        <w:rPr>
          <w:rFonts w:ascii="黑体" w:hAnsi="黑体" w:eastAsia="黑体" w:cstheme="minorBidi"/>
          <w:color w:val="auto"/>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theme="minorBidi"/>
          <w:b w:val="0"/>
          <w:bCs w:val="0"/>
          <w:color w:val="auto"/>
          <w:szCs w:val="32"/>
        </w:rPr>
        <w:fldChar w:fldCharType="end"/>
      </w:r>
      <w:bookmarkStart w:id="0" w:name="_Toc26226"/>
      <w:bookmarkStart w:id="1" w:name="_Toc6104"/>
    </w:p>
    <w:p>
      <w:pPr>
        <w:pStyle w:val="2"/>
        <w:numPr>
          <w:ilvl w:val="255"/>
          <w:numId w:val="0"/>
        </w:numPr>
        <w:spacing w:before="0" w:after="0" w:line="560" w:lineRule="exact"/>
        <w:jc w:val="center"/>
        <w:rPr>
          <w:rFonts w:hint="eastAsia" w:ascii="黑体" w:hAnsi="黑体" w:eastAsia="黑体" w:cstheme="minorBidi"/>
          <w:color w:val="auto"/>
        </w:rPr>
      </w:pPr>
      <w:bookmarkStart w:id="2" w:name="_Toc79870460"/>
      <w:bookmarkStart w:id="3" w:name="_Toc10784"/>
      <w:bookmarkStart w:id="4" w:name="_Toc32653"/>
      <w:bookmarkStart w:id="5" w:name="_Toc27179"/>
      <w:bookmarkStart w:id="6" w:name="_Toc7585"/>
      <w:bookmarkStart w:id="7" w:name="_Toc27493"/>
      <w:bookmarkStart w:id="8" w:name="_Toc4769"/>
      <w:bookmarkStart w:id="9" w:name="_Toc24507"/>
    </w:p>
    <w:p>
      <w:pPr>
        <w:pStyle w:val="2"/>
        <w:numPr>
          <w:ilvl w:val="255"/>
          <w:numId w:val="0"/>
        </w:numPr>
        <w:spacing w:before="0" w:after="0" w:line="560" w:lineRule="exact"/>
        <w:jc w:val="center"/>
        <w:rPr>
          <w:rFonts w:hint="eastAsia" w:ascii="黑体" w:hAnsi="黑体" w:eastAsia="黑体" w:cstheme="minorBidi"/>
          <w:b w:val="0"/>
          <w:bCs w:val="0"/>
          <w:color w:val="auto"/>
        </w:rPr>
      </w:pPr>
    </w:p>
    <w:p>
      <w:pPr>
        <w:pStyle w:val="2"/>
        <w:numPr>
          <w:ilvl w:val="255"/>
          <w:numId w:val="0"/>
        </w:numPr>
        <w:spacing w:before="0" w:after="0" w:line="560" w:lineRule="exact"/>
        <w:jc w:val="center"/>
        <w:rPr>
          <w:rFonts w:ascii="黑体" w:hAnsi="黑体" w:eastAsia="黑体" w:cstheme="minorBidi"/>
          <w:color w:val="auto"/>
          <w:sz w:val="32"/>
          <w:szCs w:val="32"/>
        </w:rPr>
      </w:pPr>
      <w:r>
        <w:rPr>
          <w:rFonts w:hint="eastAsia" w:ascii="黑体" w:hAnsi="黑体" w:eastAsia="黑体" w:cstheme="minorBidi"/>
          <w:color w:val="auto"/>
        </w:rPr>
        <w:t>前   言</w:t>
      </w:r>
      <w:bookmarkEnd w:id="2"/>
      <w:bookmarkEnd w:id="3"/>
      <w:bookmarkEnd w:id="4"/>
      <w:bookmarkEnd w:id="5"/>
    </w:p>
    <w:p>
      <w:pPr>
        <w:ind w:firstLine="640" w:firstLineChars="200"/>
        <w:rPr>
          <w:rFonts w:ascii="仿宋" w:hAnsi="仿宋" w:eastAsia="仿宋" w:cstheme="minorBidi"/>
          <w:bCs/>
          <w:color w:val="auto"/>
          <w:sz w:val="32"/>
          <w:szCs w:val="32"/>
        </w:rPr>
      </w:pPr>
    </w:p>
    <w:p>
      <w:pPr>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十四五”时期是我国全面建成小康社会、实现第一个百年奋斗目标之后，乘势而上开启全面建设社会主义现代化国家新征程、向第二个百年奋斗目标进军的第一个五年。“十四五”时期也是河南省推动郑焦一体化、黄河流域生态保护和高质量发展的关键时期，是焦作市打造国家中心城市西北门户城市，推动“四个焦作”建设的重要时期，是焦作加快体育改革发展，深化体育强市建设，推进世界太极城、中国养生地的重要机遇期和攻坚期。为促进相关战略目标落地，我市将以创建</w:t>
      </w:r>
      <w:r>
        <w:rPr>
          <w:rFonts w:hint="eastAsia" w:ascii="仿宋" w:hAnsi="仿宋" w:eastAsia="仿宋" w:cstheme="minorBidi"/>
          <w:b/>
          <w:color w:val="auto"/>
          <w:sz w:val="32"/>
          <w:szCs w:val="32"/>
        </w:rPr>
        <w:t>全国全民运动健身模范市、全国体育产业示范基地、全国高水平体育后备人才基地</w:t>
      </w:r>
      <w:r>
        <w:rPr>
          <w:rFonts w:hint="eastAsia" w:ascii="仿宋" w:hAnsi="仿宋" w:eastAsia="仿宋" w:cstheme="minorBidi"/>
          <w:bCs/>
          <w:color w:val="auto"/>
          <w:sz w:val="32"/>
          <w:szCs w:val="32"/>
        </w:rPr>
        <w:t>为抓手，持续推动焦作市体育工作高质量发展，促进我市体育工作全面、协调、可持续发展，更好发挥体育在城市建设以及经济社会转型发展中的独特作用。</w:t>
      </w:r>
    </w:p>
    <w:p>
      <w:pPr>
        <w:rPr>
          <w:color w:val="auto"/>
          <w:sz w:val="44"/>
          <w:szCs w:val="44"/>
        </w:rPr>
      </w:pPr>
    </w:p>
    <w:p>
      <w:pPr>
        <w:ind w:firstLine="640" w:firstLineChars="200"/>
        <w:rPr>
          <w:rFonts w:ascii="仿宋" w:hAnsi="仿宋" w:eastAsia="仿宋" w:cstheme="minorBidi"/>
          <w:bCs/>
          <w:color w:val="auto"/>
          <w:sz w:val="32"/>
          <w:szCs w:val="32"/>
        </w:rPr>
      </w:pPr>
    </w:p>
    <w:p>
      <w:pPr>
        <w:rPr>
          <w:color w:val="auto"/>
        </w:rPr>
      </w:pPr>
    </w:p>
    <w:p>
      <w:pPr>
        <w:ind w:firstLine="640" w:firstLineChars="200"/>
        <w:rPr>
          <w:rFonts w:ascii="仿宋" w:hAnsi="仿宋" w:eastAsia="仿宋" w:cstheme="minorBidi"/>
          <w:bCs/>
          <w:color w:val="auto"/>
          <w:sz w:val="32"/>
          <w:szCs w:val="32"/>
        </w:rPr>
      </w:pPr>
    </w:p>
    <w:p>
      <w:pPr>
        <w:ind w:firstLine="640" w:firstLineChars="200"/>
        <w:rPr>
          <w:rFonts w:ascii="仿宋" w:hAnsi="仿宋" w:eastAsia="仿宋" w:cstheme="minorBidi"/>
          <w:bCs/>
          <w:color w:val="auto"/>
          <w:sz w:val="32"/>
          <w:szCs w:val="32"/>
        </w:rPr>
      </w:pPr>
    </w:p>
    <w:p>
      <w:pPr>
        <w:rPr>
          <w:rFonts w:ascii="仿宋" w:hAnsi="仿宋" w:eastAsia="仿宋" w:cstheme="minorBidi"/>
          <w:bCs/>
          <w:color w:val="auto"/>
          <w:sz w:val="32"/>
          <w:szCs w:val="32"/>
        </w:rPr>
      </w:pPr>
    </w:p>
    <w:p>
      <w:pPr>
        <w:rPr>
          <w:rFonts w:ascii="仿宋" w:hAnsi="仿宋" w:eastAsia="仿宋" w:cstheme="minorBidi"/>
          <w:b/>
          <w:bCs w:val="0"/>
          <w:color w:val="auto"/>
          <w:sz w:val="32"/>
          <w:szCs w:val="32"/>
        </w:rPr>
      </w:pPr>
      <w:r>
        <w:rPr>
          <w:rFonts w:hint="eastAsia" w:ascii="仿宋" w:hAnsi="仿宋" w:eastAsia="仿宋" w:cstheme="minorBidi"/>
          <w:b/>
          <w:bCs w:val="0"/>
          <w:color w:val="auto"/>
          <w:sz w:val="32"/>
          <w:szCs w:val="32"/>
        </w:rPr>
        <w:t>编制依据：</w:t>
      </w:r>
    </w:p>
    <w:tbl>
      <w:tblPr>
        <w:tblStyle w:val="22"/>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9"/>
        <w:gridCol w:w="258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99" w:type="dxa"/>
            <w:tcBorders>
              <w:top w:val="single" w:color="auto" w:sz="8" w:space="0"/>
              <w:left w:val="nil"/>
              <w:bottom w:val="single" w:color="auto" w:sz="6" w:space="0"/>
              <w:right w:val="nil"/>
            </w:tcBorders>
          </w:tcPr>
          <w:p>
            <w:pPr>
              <w:jc w:val="center"/>
              <w:rPr>
                <w:rFonts w:cs="楷体" w:asciiTheme="minorEastAsia" w:hAnsiTheme="minorEastAsia"/>
                <w:b/>
                <w:bCs/>
                <w:color w:val="auto"/>
                <w:szCs w:val="21"/>
                <w:shd w:val="clear" w:color="auto" w:fill="FFFFFF"/>
              </w:rPr>
            </w:pPr>
            <w:r>
              <w:rPr>
                <w:rFonts w:cs="楷体" w:asciiTheme="minorEastAsia" w:hAnsiTheme="minorEastAsia"/>
                <w:b/>
                <w:bCs/>
                <w:color w:val="auto"/>
                <w:szCs w:val="21"/>
                <w:shd w:val="clear" w:color="auto" w:fill="FFFFFF"/>
              </w:rPr>
              <w:t>文件</w:t>
            </w:r>
          </w:p>
        </w:tc>
        <w:tc>
          <w:tcPr>
            <w:tcW w:w="2589" w:type="dxa"/>
            <w:tcBorders>
              <w:top w:val="single" w:color="auto" w:sz="8" w:space="0"/>
              <w:left w:val="nil"/>
              <w:bottom w:val="single" w:color="auto" w:sz="6" w:space="0"/>
              <w:right w:val="nil"/>
            </w:tcBorders>
          </w:tcPr>
          <w:p>
            <w:pPr>
              <w:jc w:val="center"/>
              <w:rPr>
                <w:rFonts w:cs="楷体" w:asciiTheme="minorEastAsia" w:hAnsiTheme="minorEastAsia"/>
                <w:b/>
                <w:bCs/>
                <w:color w:val="auto"/>
                <w:szCs w:val="21"/>
                <w:shd w:val="clear" w:color="auto" w:fill="FFFFFF"/>
              </w:rPr>
            </w:pPr>
            <w:r>
              <w:rPr>
                <w:rFonts w:cs="楷体" w:asciiTheme="minorEastAsia" w:hAnsiTheme="minorEastAsia"/>
                <w:b/>
                <w:bCs/>
                <w:color w:val="auto"/>
                <w:szCs w:val="21"/>
                <w:shd w:val="clear" w:color="auto" w:fill="FFFFFF"/>
              </w:rPr>
              <w:t>发布部门</w:t>
            </w:r>
          </w:p>
        </w:tc>
        <w:tc>
          <w:tcPr>
            <w:tcW w:w="1991" w:type="dxa"/>
            <w:tcBorders>
              <w:top w:val="single" w:color="auto" w:sz="8" w:space="0"/>
              <w:left w:val="nil"/>
              <w:bottom w:val="single" w:color="auto" w:sz="6" w:space="0"/>
              <w:right w:val="nil"/>
            </w:tcBorders>
          </w:tcPr>
          <w:p>
            <w:pPr>
              <w:jc w:val="center"/>
              <w:rPr>
                <w:rFonts w:cs="楷体" w:asciiTheme="minorEastAsia" w:hAnsiTheme="minorEastAsia"/>
                <w:b/>
                <w:bCs/>
                <w:color w:val="auto"/>
                <w:szCs w:val="21"/>
                <w:shd w:val="clear" w:color="auto" w:fill="FFFFFF"/>
              </w:rPr>
            </w:pPr>
            <w:r>
              <w:rPr>
                <w:rFonts w:cs="楷体" w:asciiTheme="minorEastAsia" w:hAnsiTheme="minorEastAsia"/>
                <w:b/>
                <w:bCs/>
                <w:color w:val="auto"/>
                <w:szCs w:val="21"/>
                <w:shd w:val="clear" w:color="auto" w:fill="FFFFFF"/>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《全民健身计划（2016-2020</w:t>
            </w:r>
            <w:r>
              <w:rPr>
                <w:rFonts w:hint="eastAsia" w:cs="楷体" w:asciiTheme="minorEastAsia" w:hAnsiTheme="minorEastAsia"/>
                <w:color w:val="auto"/>
                <w:szCs w:val="21"/>
                <w:shd w:val="clear" w:color="auto" w:fill="FFFFFF"/>
              </w:rPr>
              <w:t>年</w:t>
            </w:r>
            <w:r>
              <w:rPr>
                <w:rFonts w:cs="楷体" w:asciiTheme="minorEastAsia" w:hAnsiTheme="minorEastAsia"/>
                <w:color w:val="auto"/>
                <w:szCs w:val="21"/>
                <w:shd w:val="clear" w:color="auto" w:fill="FFFFFF"/>
              </w:rPr>
              <w:t>）》</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《“健康中国2030”规划纲要》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中共中央、国务院</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2016.8.26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《关于进一步扩大旅游文化体育健康养老教育培训等领域消费的意见》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2016.11.28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《关于大力发展体育旅游的指导意见》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w w:val="90"/>
                <w:sz w:val="21"/>
                <w:szCs w:val="21"/>
                <w:shd w:val="clear" w:color="auto" w:fill="FFFFFF"/>
              </w:rPr>
              <w:t>国家旅游局、国家体育总局</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2016.12.22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《全民健康生活方式行动方案（2017-2025年）》</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国卫办疾控</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 xml:space="preserve">2017.9.25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《关于促进全域旅游发展的指导意见》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2018.3.22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《完善促进消费体制机制实施方案（2018—2020年）》</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《关于完善促进消费体制机制进一步激发居民消费潜力的若干意见》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中共中央、国务院</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《关于加快发展体育竞赛表演产业的指导意见》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2018.12.21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《进一步促进体育消费的行动计划（2019-2020年）》</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color w:val="auto"/>
                <w:w w:val="90"/>
                <w:sz w:val="21"/>
              </w:rPr>
              <w:fldChar w:fldCharType="begin"/>
            </w:r>
            <w:r>
              <w:rPr>
                <w:color w:val="auto"/>
                <w:w w:val="90"/>
                <w:sz w:val="21"/>
              </w:rPr>
              <w:instrText xml:space="preserve"> HYPERLINK "https://baike.baidu.com/item/%E5%9B%BD%E5%AE%B6%E4%BD%93%E8%82%B2%E6%80%BB%E5%B1%80/9400501" \t "https://baike.baidu.com/item/%E8%BF%9B%E4%B8%80%E6%AD%A5%E4%BF%83%E8%BF%9B%E4%BD%93%E8%82%B2%E6%B6%88%E8%B4%B9%E7%9A%84%E8%A1%8C%E5%8A%A8%E8%AE%A1%E5%88%92%EF%BC%882019-2020%E5%B9%B4%EF%BC%89/_blank" </w:instrText>
            </w:r>
            <w:r>
              <w:rPr>
                <w:color w:val="auto"/>
                <w:w w:val="90"/>
                <w:sz w:val="21"/>
              </w:rPr>
              <w:fldChar w:fldCharType="separate"/>
            </w:r>
            <w:r>
              <w:rPr>
                <w:rFonts w:hint="eastAsia"/>
                <w:color w:val="auto"/>
                <w:w w:val="90"/>
                <w:sz w:val="21"/>
              </w:rPr>
              <w:t>国家体育总局</w:t>
            </w:r>
            <w:r>
              <w:rPr>
                <w:rFonts w:hint="eastAsia"/>
                <w:color w:val="auto"/>
                <w:w w:val="90"/>
                <w:sz w:val="21"/>
              </w:rPr>
              <w:fldChar w:fldCharType="end"/>
            </w:r>
            <w:r>
              <w:rPr>
                <w:rFonts w:hint="eastAsia" w:cs="楷体" w:asciiTheme="minorEastAsia" w:hAnsiTheme="minorEastAsia"/>
                <w:color w:val="auto"/>
                <w:w w:val="90"/>
                <w:sz w:val="21"/>
                <w:szCs w:val="21"/>
                <w:shd w:val="clear" w:color="auto" w:fill="FFFFFF"/>
              </w:rPr>
              <w:t>、</w:t>
            </w:r>
            <w:r>
              <w:rPr>
                <w:color w:val="auto"/>
                <w:w w:val="90"/>
                <w:sz w:val="21"/>
              </w:rPr>
              <w:fldChar w:fldCharType="begin"/>
            </w:r>
            <w:r>
              <w:rPr>
                <w:color w:val="auto"/>
                <w:w w:val="90"/>
                <w:sz w:val="21"/>
              </w:rPr>
              <w:instrText xml:space="preserve"> HYPERLINK "https://baike.baidu.com/item/%E5%9B%BD%E5%AE%B6%E5%8F%91%E6%94%B9%E5%A7%94/11157689" \t "https://baike.baidu.com/item/%E8%BF%9B%E4%B8%80%E6%AD%A5%E4%BF%83%E8%BF%9B%E4%BD%93%E8%82%B2%E6%B6%88%E8%B4%B9%E7%9A%84%E8%A1%8C%E5%8A%A8%E8%AE%A1%E5%88%92%EF%BC%882019-2020%E5%B9%B4%EF%BC%89/_blank" </w:instrText>
            </w:r>
            <w:r>
              <w:rPr>
                <w:color w:val="auto"/>
                <w:w w:val="90"/>
                <w:sz w:val="21"/>
              </w:rPr>
              <w:fldChar w:fldCharType="separate"/>
            </w:r>
            <w:r>
              <w:rPr>
                <w:rFonts w:hint="eastAsia"/>
                <w:color w:val="auto"/>
                <w:w w:val="90"/>
                <w:sz w:val="21"/>
              </w:rPr>
              <w:t>国家发改委</w:t>
            </w:r>
            <w:r>
              <w:rPr>
                <w:rFonts w:hint="eastAsia"/>
                <w:color w:val="auto"/>
                <w:w w:val="90"/>
                <w:sz w:val="21"/>
              </w:rPr>
              <w:fldChar w:fldCharType="end"/>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2019.1.15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《健康中国行动（2019-2030年）》</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健康中国行动推进委员会</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《关于进一步激发文化和旅游消费潜力的意见》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2019.8.12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《体育强国建设纲要》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2019.8.10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8"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《关于促进全民健身和体育消费推动体育产业高质量发展的意见》</w:t>
            </w:r>
          </w:p>
        </w:tc>
        <w:tc>
          <w:tcPr>
            <w:tcW w:w="2589" w:type="dxa"/>
            <w:tcBorders>
              <w:top w:val="single" w:color="auto" w:sz="4" w:space="0"/>
              <w:left w:val="nil"/>
              <w:bottom w:val="single" w:color="auto" w:sz="8"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8"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2019.9.4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《关于进一步加强残疾人康复健身体育工作的指导意见》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中国残联、国家体育总局</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color w:val="auto"/>
                <w:szCs w:val="21"/>
                <w:shd w:val="clear" w:color="auto" w:fill="FFFFFF"/>
              </w:rPr>
              <w:t>2019</w:t>
            </w:r>
            <w:r>
              <w:rPr>
                <w:rFonts w:cs="楷体" w:asciiTheme="minorEastAsia" w:hAnsiTheme="minorEastAsia"/>
                <w:color w:val="auto"/>
                <w:szCs w:val="21"/>
                <w:shd w:val="clear" w:color="auto" w:fill="FFFFFF"/>
              </w:rPr>
              <w:t>.</w:t>
            </w:r>
            <w:r>
              <w:rPr>
                <w:rFonts w:cs="楷体"/>
                <w:color w:val="auto"/>
                <w:szCs w:val="21"/>
                <w:shd w:val="clear" w:color="auto" w:fill="FFFFFF"/>
              </w:rPr>
              <w:t>9</w:t>
            </w:r>
            <w:r>
              <w:rPr>
                <w:rFonts w:cs="楷体" w:asciiTheme="minorEastAsia" w:hAnsiTheme="minorEastAsia"/>
                <w:color w:val="auto"/>
                <w:szCs w:val="21"/>
                <w:shd w:val="clear" w:color="auto" w:fill="FFFFFF"/>
              </w:rPr>
              <w:t>.</w:t>
            </w:r>
            <w:r>
              <w:rPr>
                <w:rFonts w:cs="楷体"/>
                <w:color w:val="auto"/>
                <w:szCs w:val="21"/>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《关于深化体教融合 促进青少年健康发展的意见》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国家体育总局、教育部</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cs="楷体"/>
                <w:color w:val="auto"/>
                <w:szCs w:val="21"/>
                <w:shd w:val="clear" w:color="auto" w:fill="FFFFFF"/>
              </w:rPr>
              <w:t>20</w:t>
            </w:r>
            <w:r>
              <w:rPr>
                <w:rFonts w:hint="eastAsia" w:cs="楷体"/>
                <w:color w:val="auto"/>
                <w:szCs w:val="21"/>
                <w:shd w:val="clear" w:color="auto" w:fill="FFFFFF"/>
              </w:rPr>
              <w:t>20</w:t>
            </w:r>
            <w:r>
              <w:rPr>
                <w:rFonts w:cs="楷体" w:asciiTheme="minorEastAsia" w:hAnsiTheme="minorEastAsia"/>
                <w:color w:val="auto"/>
                <w:szCs w:val="21"/>
                <w:shd w:val="clear" w:color="auto" w:fill="FFFFFF"/>
              </w:rPr>
              <w:t>.</w:t>
            </w:r>
            <w:r>
              <w:rPr>
                <w:rFonts w:cs="楷体"/>
                <w:color w:val="auto"/>
                <w:szCs w:val="21"/>
                <w:shd w:val="clear" w:color="auto" w:fill="FFFFFF"/>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《关于加强全民健身场地设施建设发展群众体育的意见》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《关于全面加强和改进新时代学校体育工作的意见》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2020.10.15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《全民健身计划（2021—2025）》</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 xml:space="preserve">国务院 </w:t>
            </w:r>
            <w:r>
              <w:rPr>
                <w:rFonts w:cs="楷体" w:asciiTheme="minorEastAsia" w:hAnsiTheme="minorEastAsia"/>
                <w:color w:val="auto"/>
                <w:szCs w:val="21"/>
                <w:shd w:val="clear" w:color="auto" w:fill="FFFFFF"/>
              </w:rPr>
              <w:t xml:space="preserve">             </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2021.7.18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《“十四五”体育发展规划》</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国家体育总局</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w w:val="90"/>
                <w:sz w:val="21"/>
                <w:szCs w:val="21"/>
                <w:shd w:val="clear" w:color="auto" w:fill="FFFFFF"/>
              </w:rPr>
              <w:t>河南省全民健身实施计划(2016—2020)</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河南省体育局</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2016.8.10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《河南省推进体育强省建设三级联创三个带动实施意见》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河南省人民政府办公厅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w:t>
            </w:r>
            <w:r>
              <w:rPr>
                <w:rFonts w:cs="楷体"/>
                <w:color w:val="auto"/>
                <w:szCs w:val="21"/>
                <w:shd w:val="clear" w:color="auto" w:fill="FFFFFF"/>
              </w:rPr>
              <w:t>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hint="eastAsia" w:eastAsia="宋体" w:cs="楷体" w:asciiTheme="minorEastAsia" w:hAnsiTheme="minorEastAsia"/>
                <w:color w:val="auto"/>
                <w:szCs w:val="21"/>
                <w:shd w:val="clear" w:color="auto" w:fill="FFFFFF"/>
                <w:lang w:eastAsia="zh-CN"/>
              </w:rPr>
            </w:pPr>
            <w:r>
              <w:rPr>
                <w:rFonts w:hint="eastAsia" w:cs="楷体" w:asciiTheme="minorEastAsia" w:hAnsiTheme="minorEastAsia"/>
                <w:color w:val="auto"/>
                <w:szCs w:val="21"/>
                <w:shd w:val="clear" w:color="auto" w:fill="FFFFFF"/>
                <w:lang w:eastAsia="zh-CN"/>
              </w:rPr>
              <w:t>《</w:t>
            </w:r>
            <w:r>
              <w:rPr>
                <w:rFonts w:hint="eastAsia" w:cs="楷体" w:asciiTheme="minorEastAsia" w:hAnsiTheme="minorEastAsia"/>
                <w:color w:val="auto"/>
                <w:szCs w:val="21"/>
                <w:shd w:val="clear" w:color="auto" w:fill="FFFFFF"/>
              </w:rPr>
              <w:t>河南省关于加快发展健身休闲产业的实施意见</w:t>
            </w:r>
            <w:r>
              <w:rPr>
                <w:rFonts w:hint="eastAsia" w:cs="楷体" w:asciiTheme="minorEastAsia" w:hAnsiTheme="minorEastAsia"/>
                <w:color w:val="auto"/>
                <w:szCs w:val="21"/>
                <w:shd w:val="clear" w:color="auto" w:fill="FFFFFF"/>
                <w:lang w:eastAsia="zh-CN"/>
              </w:rPr>
              <w:t>》</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河南省人民政府办公厅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w:t>
            </w:r>
            <w:r>
              <w:rPr>
                <w:rFonts w:cs="楷体"/>
                <w:color w:val="auto"/>
                <w:szCs w:val="21"/>
                <w:shd w:val="clear" w:color="auto" w:fill="FFFFFF"/>
              </w:rPr>
              <w:t>019.10.23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《关于加快发展体育产业促进体育消费等实施意见》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lang w:eastAsia="zh-CN"/>
              </w:rPr>
              <w:t>河南省</w:t>
            </w:r>
            <w:r>
              <w:rPr>
                <w:rFonts w:hint="eastAsia" w:cs="楷体" w:asciiTheme="minorEastAsia" w:hAnsiTheme="minorEastAsia"/>
                <w:color w:val="auto"/>
                <w:szCs w:val="21"/>
                <w:shd w:val="clear" w:color="auto" w:fill="FFFFFF"/>
              </w:rPr>
              <w:t>人民政府办公</w:t>
            </w:r>
            <w:r>
              <w:rPr>
                <w:rFonts w:hint="eastAsia" w:cs="楷体" w:asciiTheme="minorEastAsia" w:hAnsiTheme="minorEastAsia"/>
                <w:color w:val="auto"/>
                <w:szCs w:val="21"/>
                <w:shd w:val="clear" w:color="auto" w:fill="FFFFFF"/>
                <w:lang w:eastAsia="zh-CN"/>
              </w:rPr>
              <w:t>厅</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2016.04.23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《焦作市全民健身实施计划（</w:t>
            </w:r>
            <w:r>
              <w:rPr>
                <w:rFonts w:hint="eastAsia" w:cs="楷体"/>
                <w:color w:val="auto"/>
                <w:szCs w:val="21"/>
                <w:shd w:val="clear" w:color="auto" w:fill="FFFFFF"/>
              </w:rPr>
              <w:t>2016-2020</w:t>
            </w:r>
            <w:r>
              <w:rPr>
                <w:rFonts w:hint="eastAsia" w:cs="楷体" w:asciiTheme="minorEastAsia" w:hAnsiTheme="minorEastAsia"/>
                <w:color w:val="auto"/>
                <w:szCs w:val="21"/>
                <w:shd w:val="clear" w:color="auto" w:fill="FFFFFF"/>
              </w:rPr>
              <w:t>年）》</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焦作市人民政府办公</w:t>
            </w:r>
            <w:r>
              <w:rPr>
                <w:rFonts w:hint="eastAsia" w:cs="楷体" w:asciiTheme="minorEastAsia" w:hAnsiTheme="minorEastAsia"/>
                <w:color w:val="auto"/>
                <w:szCs w:val="21"/>
                <w:shd w:val="clear" w:color="auto" w:fill="FFFFFF"/>
              </w:rPr>
              <w:t>室</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2016.12.28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69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《“健康焦作</w:t>
            </w:r>
            <w:r>
              <w:rPr>
                <w:rFonts w:hint="eastAsia" w:cs="楷体"/>
                <w:color w:val="auto"/>
                <w:szCs w:val="21"/>
                <w:shd w:val="clear" w:color="auto" w:fill="FFFFFF"/>
              </w:rPr>
              <w:t>2030</w:t>
            </w:r>
            <w:r>
              <w:rPr>
                <w:rFonts w:hint="eastAsia" w:cs="楷体" w:asciiTheme="minorEastAsia" w:hAnsiTheme="minorEastAsia"/>
                <w:color w:val="auto"/>
                <w:szCs w:val="21"/>
                <w:shd w:val="clear" w:color="auto" w:fill="FFFFFF"/>
              </w:rPr>
              <w:t>”规划纲要》</w:t>
            </w:r>
          </w:p>
        </w:tc>
        <w:tc>
          <w:tcPr>
            <w:tcW w:w="2589" w:type="dxa"/>
            <w:tcBorders>
              <w:top w:val="single" w:color="auto" w:sz="4" w:space="0"/>
              <w:left w:val="nil"/>
              <w:bottom w:val="single" w:color="auto" w:sz="4" w:space="0"/>
              <w:right w:val="nil"/>
            </w:tcBorders>
            <w:vAlign w:val="center"/>
          </w:tcPr>
          <w:p>
            <w:pPr>
              <w:spacing w:line="280" w:lineRule="exact"/>
              <w:jc w:val="center"/>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焦作市人民政府办公室</w:t>
            </w:r>
          </w:p>
        </w:tc>
        <w:tc>
          <w:tcPr>
            <w:tcW w:w="1991" w:type="dxa"/>
            <w:tcBorders>
              <w:top w:val="single" w:color="auto" w:sz="4" w:space="0"/>
              <w:left w:val="nil"/>
              <w:bottom w:val="single" w:color="auto" w:sz="4" w:space="0"/>
              <w:right w:val="nil"/>
            </w:tcBorders>
            <w:vAlign w:val="center"/>
          </w:tcPr>
          <w:p>
            <w:pPr>
              <w:spacing w:line="280" w:lineRule="exact"/>
              <w:jc w:val="center"/>
              <w:rPr>
                <w:rFonts w:cs="楷体"/>
                <w:color w:val="auto"/>
                <w:szCs w:val="21"/>
                <w:shd w:val="clear" w:color="auto" w:fill="FFFFFF"/>
              </w:rPr>
            </w:pPr>
            <w:r>
              <w:rPr>
                <w:rFonts w:hint="eastAsia" w:cs="楷体"/>
                <w:color w:val="auto"/>
                <w:szCs w:val="21"/>
                <w:shd w:val="clear" w:color="auto" w:fill="FFFFFF"/>
              </w:rPr>
              <w:t xml:space="preserve">2018.3.27  </w:t>
            </w:r>
          </w:p>
        </w:tc>
      </w:tr>
    </w:tbl>
    <w:p>
      <w:pPr>
        <w:pStyle w:val="2"/>
        <w:numPr>
          <w:ilvl w:val="255"/>
          <w:numId w:val="0"/>
        </w:numPr>
        <w:spacing w:before="0" w:after="0" w:line="560" w:lineRule="exact"/>
        <w:jc w:val="center"/>
        <w:rPr>
          <w:rFonts w:ascii="宋体" w:hAnsi="宋体" w:cs="宋体"/>
          <w:color w:val="auto"/>
        </w:rPr>
      </w:pPr>
      <w:bookmarkStart w:id="10" w:name="_Toc8031"/>
      <w:bookmarkStart w:id="11" w:name="_Toc32760"/>
      <w:bookmarkStart w:id="12" w:name="_Toc79870461"/>
      <w:bookmarkStart w:id="13" w:name="_Toc18481"/>
      <w:r>
        <w:rPr>
          <w:rFonts w:hint="eastAsia" w:ascii="宋体" w:hAnsi="宋体" w:cs="宋体"/>
          <w:color w:val="auto"/>
        </w:rPr>
        <w:t>第一章 背景分析</w:t>
      </w:r>
      <w:bookmarkEnd w:id="0"/>
      <w:bookmarkEnd w:id="1"/>
      <w:bookmarkEnd w:id="6"/>
      <w:bookmarkEnd w:id="7"/>
      <w:bookmarkEnd w:id="8"/>
      <w:bookmarkEnd w:id="9"/>
      <w:bookmarkEnd w:id="10"/>
      <w:bookmarkEnd w:id="11"/>
      <w:bookmarkEnd w:id="12"/>
      <w:bookmarkEnd w:id="13"/>
    </w:p>
    <w:p>
      <w:pPr>
        <w:spacing w:line="560" w:lineRule="exact"/>
        <w:ind w:firstLine="640" w:firstLineChars="200"/>
        <w:rPr>
          <w:rFonts w:hint="eastAsia" w:ascii="仿宋" w:hAnsi="仿宋" w:eastAsia="仿宋" w:cstheme="minorBidi"/>
          <w:bCs/>
          <w:color w:val="auto"/>
          <w:sz w:val="32"/>
          <w:szCs w:val="32"/>
          <w:lang w:eastAsia="zh-CN"/>
        </w:rPr>
      </w:pPr>
      <w:r>
        <w:rPr>
          <w:rFonts w:hint="eastAsia" w:ascii="仿宋" w:hAnsi="仿宋" w:eastAsia="仿宋" w:cstheme="minorBidi"/>
          <w:bCs/>
          <w:color w:val="auto"/>
          <w:sz w:val="32"/>
          <w:szCs w:val="32"/>
          <w:lang w:eastAsia="zh-CN"/>
        </w:rPr>
        <w:t>。截止目前，全市县（市）区共建成全民健身活动中心9个，农民体育健身工程1985个、乡镇体育健身工程106个、健身路径632条（器材7500件）。借助六</w:t>
      </w:r>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为促进焦作体育事业全面、协调、可持续发展，充分发挥体育在增强人民体质、提升生活质量、推动经济转型升级等方面的重要作用，根据《焦作市国民经济和社会发展“十四五”规划》，结合焦作市体育工作实际，制定本规划。规划年限为2021-2025年。</w:t>
      </w:r>
    </w:p>
    <w:p>
      <w:pPr>
        <w:pStyle w:val="3"/>
        <w:spacing w:before="0" w:after="0" w:line="560" w:lineRule="exact"/>
        <w:ind w:firstLine="640" w:firstLineChars="200"/>
        <w:rPr>
          <w:rFonts w:ascii="黑体" w:hAnsi="黑体" w:eastAsia="黑体" w:cs="黑体"/>
          <w:b w:val="0"/>
          <w:bCs w:val="0"/>
          <w:color w:val="auto"/>
        </w:rPr>
      </w:pPr>
      <w:bookmarkStart w:id="14" w:name="_Toc31287"/>
      <w:bookmarkStart w:id="15" w:name="_Toc25618"/>
      <w:bookmarkStart w:id="16" w:name="_Toc19923"/>
      <w:bookmarkStart w:id="17" w:name="_Toc816"/>
      <w:bookmarkStart w:id="18" w:name="_Toc31020"/>
      <w:bookmarkStart w:id="19" w:name="_Toc12629"/>
      <w:bookmarkStart w:id="20" w:name="_Toc26377"/>
      <w:bookmarkStart w:id="21" w:name="_Toc79870462"/>
      <w:bookmarkStart w:id="22" w:name="_Toc18770"/>
      <w:r>
        <w:rPr>
          <w:rFonts w:hint="eastAsia" w:ascii="黑体" w:hAnsi="黑体" w:eastAsia="黑体" w:cs="黑体"/>
          <w:b w:val="0"/>
          <w:bCs w:val="0"/>
          <w:color w:val="auto"/>
        </w:rPr>
        <w:t>一、“十三五”焦作市体育发展成就</w:t>
      </w:r>
      <w:bookmarkEnd w:id="14"/>
      <w:bookmarkEnd w:id="15"/>
      <w:bookmarkEnd w:id="16"/>
      <w:bookmarkEnd w:id="17"/>
      <w:bookmarkEnd w:id="18"/>
      <w:bookmarkEnd w:id="19"/>
      <w:bookmarkEnd w:id="20"/>
      <w:bookmarkEnd w:id="21"/>
      <w:bookmarkEnd w:id="22"/>
    </w:p>
    <w:p>
      <w:pPr>
        <w:pStyle w:val="4"/>
        <w:spacing w:before="0" w:after="0" w:line="560" w:lineRule="exact"/>
        <w:ind w:firstLine="642" w:firstLineChars="200"/>
        <w:rPr>
          <w:rFonts w:ascii="楷体" w:hAnsi="楷体" w:eastAsia="楷体" w:cs="楷体"/>
          <w:bCs w:val="0"/>
          <w:color w:val="auto"/>
        </w:rPr>
      </w:pPr>
      <w:bookmarkStart w:id="23" w:name="_Toc4897"/>
      <w:bookmarkStart w:id="24" w:name="_Toc26808"/>
      <w:bookmarkStart w:id="25" w:name="_Toc8426"/>
      <w:bookmarkStart w:id="26" w:name="_Toc10267"/>
      <w:bookmarkStart w:id="27" w:name="_Toc79870463"/>
      <w:r>
        <w:rPr>
          <w:rFonts w:hint="eastAsia" w:ascii="楷体" w:hAnsi="楷体" w:eastAsia="楷体" w:cs="楷体"/>
          <w:bCs w:val="0"/>
          <w:color w:val="auto"/>
        </w:rPr>
        <w:t>（一）公共服务体系不断完善</w:t>
      </w:r>
      <w:bookmarkEnd w:id="23"/>
      <w:bookmarkEnd w:id="24"/>
      <w:bookmarkEnd w:id="25"/>
      <w:bookmarkEnd w:id="26"/>
      <w:bookmarkEnd w:id="27"/>
    </w:p>
    <w:p>
      <w:pPr>
        <w:adjustRightInd w:val="0"/>
        <w:snapToGrid w:val="0"/>
        <w:spacing w:line="560" w:lineRule="exact"/>
        <w:ind w:firstLine="642" w:firstLineChars="200"/>
        <w:rPr>
          <w:rFonts w:ascii="仿宋" w:hAnsi="仿宋" w:eastAsia="仿宋" w:cstheme="minorBidi"/>
          <w:bCs/>
          <w:color w:val="auto"/>
          <w:sz w:val="32"/>
          <w:szCs w:val="32"/>
        </w:rPr>
      </w:pPr>
      <w:r>
        <w:rPr>
          <w:rFonts w:hint="eastAsia" w:ascii="仿宋" w:hAnsi="仿宋" w:eastAsia="仿宋" w:cs="仿宋_GB2312"/>
          <w:b/>
          <w:bCs/>
          <w:color w:val="auto"/>
          <w:sz w:val="32"/>
          <w:szCs w:val="32"/>
        </w:rPr>
        <w:t>体育基础设施逐步完善。</w:t>
      </w:r>
      <w:r>
        <w:rPr>
          <w:rFonts w:hint="eastAsia" w:ascii="仿宋" w:hAnsi="仿宋" w:eastAsia="仿宋" w:cstheme="minorBidi"/>
          <w:bCs/>
          <w:color w:val="auto"/>
          <w:sz w:val="32"/>
          <w:szCs w:val="32"/>
        </w:rPr>
        <w:t>“十三五”期间，我市注重体育基础设施惠民，</w:t>
      </w:r>
      <w:r>
        <w:rPr>
          <w:rFonts w:hint="eastAsia" w:ascii="仿宋" w:hAnsi="仿宋" w:eastAsia="仿宋" w:cs="仿宋"/>
          <w:color w:val="auto"/>
          <w:sz w:val="32"/>
          <w:szCs w:val="32"/>
        </w:rPr>
        <w:t>大力实施“农民体育健身工程”“乡镇健身工程”“健身路径工程”“社区多功能运动场”“健身步道”等建设</w:t>
      </w:r>
      <w:r>
        <w:rPr>
          <w:rFonts w:hint="eastAsia" w:ascii="仿宋" w:hAnsi="仿宋" w:eastAsia="仿宋" w:cs="仿宋"/>
          <w:color w:val="auto"/>
          <w:sz w:val="32"/>
          <w:szCs w:val="32"/>
          <w:lang w:eastAsia="zh-CN"/>
        </w:rPr>
        <w:t>。</w:t>
      </w:r>
      <w:r>
        <w:rPr>
          <w:rFonts w:hint="eastAsia" w:ascii="仿宋" w:hAnsi="仿宋" w:eastAsia="仿宋" w:cstheme="minorBidi"/>
          <w:bCs/>
          <w:color w:val="auto"/>
          <w:sz w:val="32"/>
          <w:szCs w:val="32"/>
          <w:lang w:eastAsia="zh-CN"/>
        </w:rPr>
        <w:t>截止目前，</w:t>
      </w:r>
      <w:r>
        <w:rPr>
          <w:rFonts w:hint="eastAsia" w:ascii="仿宋" w:hAnsi="仿宋" w:eastAsia="仿宋" w:cs="仿宋"/>
          <w:color w:val="auto"/>
          <w:sz w:val="32"/>
          <w:szCs w:val="32"/>
        </w:rPr>
        <w:t>全市县（市）区共建成全民健身活动中心9个，农民体育健身工程1985个、乡镇体育健身工程106个、健身路径</w:t>
      </w:r>
      <w:r>
        <w:rPr>
          <w:rFonts w:hint="eastAsia" w:ascii="仿宋" w:hAnsi="仿宋" w:eastAsia="仿宋" w:cs="仿宋"/>
          <w:color w:val="auto"/>
          <w:sz w:val="32"/>
          <w:szCs w:val="32"/>
          <w:lang w:val="en-US" w:eastAsia="zh-CN"/>
        </w:rPr>
        <w:t>632条（器材7500件）</w:t>
      </w:r>
      <w:r>
        <w:rPr>
          <w:rFonts w:hint="eastAsia" w:ascii="仿宋" w:hAnsi="仿宋" w:eastAsia="仿宋" w:cs="仿宋"/>
          <w:color w:val="auto"/>
          <w:sz w:val="32"/>
          <w:szCs w:val="32"/>
        </w:rPr>
        <w:t>。借助六纵、六横主干道建设，在59个公园和游园安装健身器材1400余件，实现农民体育健身工程、乡镇体育健身工程、市区晨晚练点城乡全覆盖，基本实现“10分钟健身圈”目标，人均体育场地面积达2.26平方米，</w:t>
      </w:r>
      <w:r>
        <w:rPr>
          <w:rFonts w:hint="eastAsia" w:ascii="仿宋" w:hAnsi="仿宋" w:eastAsia="仿宋" w:cs="仿宋"/>
          <w:color w:val="auto"/>
          <w:kern w:val="0"/>
          <w:sz w:val="32"/>
          <w:szCs w:val="32"/>
        </w:rPr>
        <w:t>居全省前列。</w:t>
      </w:r>
      <w:r>
        <w:rPr>
          <w:rFonts w:hint="eastAsia" w:ascii="仿宋" w:hAnsi="仿宋" w:eastAsia="仿宋" w:cstheme="minorBidi"/>
          <w:bCs/>
          <w:color w:val="auto"/>
          <w:sz w:val="32"/>
          <w:szCs w:val="32"/>
        </w:rPr>
        <w:t>2020年4月，我市新建大沙河体育公园室外体育活动广场，成为河南省面积最大、功能最全、器材最多的室外体育活动广场。</w:t>
      </w:r>
    </w:p>
    <w:p>
      <w:pPr>
        <w:adjustRightInd w:val="0"/>
        <w:snapToGrid w:val="0"/>
        <w:spacing w:line="560" w:lineRule="exact"/>
        <w:ind w:firstLine="642" w:firstLineChars="200"/>
        <w:rPr>
          <w:rFonts w:ascii="仿宋" w:hAnsi="仿宋" w:eastAsia="仿宋" w:cs="仿宋"/>
          <w:color w:val="auto"/>
          <w:sz w:val="32"/>
          <w:szCs w:val="32"/>
        </w:rPr>
      </w:pPr>
      <w:r>
        <w:rPr>
          <w:rFonts w:hint="eastAsia" w:ascii="仿宋" w:hAnsi="仿宋" w:eastAsia="仿宋" w:cs="仿宋_GB2312"/>
          <w:b/>
          <w:bCs/>
          <w:color w:val="auto"/>
          <w:sz w:val="32"/>
          <w:szCs w:val="32"/>
        </w:rPr>
        <w:t>全民健身活动蓬勃开展。</w:t>
      </w:r>
      <w:r>
        <w:rPr>
          <w:rFonts w:hint="eastAsia" w:ascii="仿宋" w:hAnsi="仿宋" w:eastAsia="仿宋" w:cs="仿宋_GB2312"/>
          <w:color w:val="auto"/>
          <w:sz w:val="32"/>
          <w:szCs w:val="32"/>
        </w:rPr>
        <w:t>“</w:t>
      </w:r>
      <w:r>
        <w:rPr>
          <w:rFonts w:hint="eastAsia" w:ascii="仿宋" w:hAnsi="仿宋" w:eastAsia="仿宋" w:cstheme="minorBidi"/>
          <w:bCs/>
          <w:color w:val="auto"/>
          <w:sz w:val="32"/>
          <w:szCs w:val="32"/>
        </w:rPr>
        <w:t>十三五”期间，我市</w:t>
      </w:r>
      <w:r>
        <w:rPr>
          <w:rFonts w:hint="eastAsia" w:ascii="仿宋" w:hAnsi="仿宋" w:eastAsia="仿宋" w:cs="仿宋"/>
          <w:color w:val="auto"/>
          <w:sz w:val="32"/>
          <w:szCs w:val="32"/>
        </w:rPr>
        <w:t>每年开展元旦万人长跑、“三八”百万妇女健步走、 “全民健身日”健身展示、篮球文化节、“重阳节”登山、健步走等参与人数多、示范作用强的全民健身活动200多项。定期开展市、县综合性运动会、农民运动会、残疾人运动会、中小学生运动会和行业系统运动会，活动贯穿全年，活动对象覆盖全市各类人群。</w:t>
      </w:r>
    </w:p>
    <w:p>
      <w:pPr>
        <w:spacing w:line="560" w:lineRule="exact"/>
        <w:ind w:firstLine="642" w:firstLineChars="200"/>
        <w:rPr>
          <w:rFonts w:ascii="仿宋" w:hAnsi="仿宋" w:eastAsia="仿宋" w:cs="仿宋"/>
          <w:color w:val="auto"/>
          <w:sz w:val="32"/>
          <w:szCs w:val="32"/>
        </w:rPr>
      </w:pPr>
      <w:r>
        <w:rPr>
          <w:rFonts w:hint="eastAsia" w:ascii="仿宋" w:hAnsi="仿宋" w:eastAsia="仿宋" w:cs="仿宋_GB2312"/>
          <w:b/>
          <w:bCs/>
          <w:color w:val="auto"/>
          <w:sz w:val="32"/>
          <w:szCs w:val="32"/>
        </w:rPr>
        <w:t>体育社会组织全面覆盖。</w:t>
      </w:r>
      <w:r>
        <w:rPr>
          <w:rFonts w:hint="eastAsia" w:ascii="仿宋" w:hAnsi="仿宋" w:eastAsia="仿宋" w:cstheme="minorBidi"/>
          <w:bCs/>
          <w:color w:val="auto"/>
          <w:sz w:val="32"/>
          <w:szCs w:val="32"/>
        </w:rPr>
        <w:t>“十三五”期间，我市</w:t>
      </w:r>
      <w:r>
        <w:rPr>
          <w:rFonts w:hint="eastAsia" w:ascii="仿宋" w:hAnsi="仿宋" w:eastAsia="仿宋" w:cs="仿宋"/>
          <w:color w:val="auto"/>
          <w:sz w:val="32"/>
          <w:szCs w:val="32"/>
        </w:rPr>
        <w:t>坚持“群众体育协会办”发展理念，由体育社会组织承办全民健身赛事、培训、体质监测、指导服务等工作。目前，全市有市级行业体协、单项协会49个，县区级单项体育协会119个，市级体育俱乐部32个，县级体育俱乐部48个，市、县、乡、村四级全民健身组织达到全覆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全市城乡健身站点2050个，达到每万人5个以上。</w:t>
      </w:r>
    </w:p>
    <w:p>
      <w:pPr>
        <w:spacing w:line="560" w:lineRule="exact"/>
        <w:ind w:firstLine="642" w:firstLineChars="200"/>
        <w:rPr>
          <w:rFonts w:ascii="仿宋" w:hAnsi="仿宋" w:eastAsia="仿宋" w:cs="仿宋"/>
          <w:color w:val="auto"/>
          <w:sz w:val="32"/>
          <w:szCs w:val="32"/>
        </w:rPr>
      </w:pPr>
      <w:r>
        <w:rPr>
          <w:rFonts w:hint="eastAsia" w:ascii="仿宋" w:hAnsi="仿宋" w:eastAsia="仿宋" w:cs="仿宋_GB2312"/>
          <w:b/>
          <w:bCs/>
          <w:color w:val="auto"/>
          <w:sz w:val="32"/>
          <w:szCs w:val="32"/>
        </w:rPr>
        <w:t>科学健身指导</w:t>
      </w:r>
      <w:r>
        <w:rPr>
          <w:rFonts w:hint="eastAsia" w:ascii="仿宋" w:hAnsi="仿宋" w:eastAsia="仿宋" w:cs="仿宋_GB2312"/>
          <w:b/>
          <w:bCs/>
          <w:color w:val="auto"/>
          <w:sz w:val="32"/>
          <w:szCs w:val="32"/>
        </w:rPr>
        <w:t>逐步加强。</w:t>
      </w:r>
      <w:r>
        <w:rPr>
          <w:rFonts w:hint="eastAsia" w:ascii="仿宋" w:hAnsi="仿宋" w:eastAsia="仿宋" w:cs="仿宋_GB2312"/>
          <w:color w:val="auto"/>
          <w:sz w:val="32"/>
          <w:szCs w:val="32"/>
        </w:rPr>
        <w:t>“十三五”期间，我市不断加强</w:t>
      </w:r>
      <w:r>
        <w:rPr>
          <w:rFonts w:hint="eastAsia" w:ascii="仿宋" w:hAnsi="仿宋" w:eastAsia="仿宋" w:cs="仿宋"/>
          <w:color w:val="auto"/>
          <w:sz w:val="32"/>
          <w:szCs w:val="32"/>
        </w:rPr>
        <w:t>社会体育指导员培训，以基层单位为重点，积极开展二、三级社会体育指导员培训，不断壮大社会体育指导员队伍，全市社会体育指导员达30557人，其中国家级139人，一级768人，二级7165人，三级22485人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积极强化国民体质监测，高标准建成市国民体质监测中心，市、县两级国民体质测试与健身指导站覆盖率达到100%。每年市、县两级定期培训国民体质测试工作人员100余名，各类人群测试总量达23000余人。</w:t>
      </w:r>
    </w:p>
    <w:p>
      <w:pPr>
        <w:pStyle w:val="4"/>
        <w:spacing w:before="0" w:after="0" w:line="560" w:lineRule="exact"/>
        <w:ind w:firstLine="642" w:firstLineChars="200"/>
        <w:rPr>
          <w:rFonts w:ascii="楷体" w:hAnsi="楷体" w:eastAsia="楷体" w:cs="楷体"/>
          <w:bCs w:val="0"/>
          <w:color w:val="auto"/>
        </w:rPr>
      </w:pPr>
      <w:bookmarkStart w:id="28" w:name="_Toc10095"/>
      <w:bookmarkStart w:id="29" w:name="_Toc5357"/>
      <w:bookmarkStart w:id="30" w:name="_Toc3852"/>
      <w:bookmarkStart w:id="31" w:name="_Toc79870464"/>
      <w:bookmarkStart w:id="32" w:name="_Toc21409"/>
      <w:r>
        <w:rPr>
          <w:rFonts w:hint="eastAsia" w:ascii="楷体" w:hAnsi="楷体" w:eastAsia="楷体" w:cs="楷体"/>
          <w:bCs w:val="0"/>
          <w:color w:val="auto"/>
        </w:rPr>
        <w:t>（二）竞技体育水平稳步提升</w:t>
      </w:r>
      <w:bookmarkEnd w:id="28"/>
      <w:bookmarkEnd w:id="29"/>
      <w:bookmarkEnd w:id="30"/>
      <w:bookmarkEnd w:id="31"/>
      <w:bookmarkEnd w:id="32"/>
    </w:p>
    <w:p>
      <w:pPr>
        <w:spacing w:line="560" w:lineRule="exact"/>
        <w:ind w:firstLine="642" w:firstLineChars="200"/>
        <w:rPr>
          <w:rFonts w:ascii="仿宋" w:hAnsi="仿宋" w:eastAsia="仿宋" w:cs="仿宋"/>
          <w:color w:val="auto"/>
          <w:sz w:val="32"/>
          <w:szCs w:val="32"/>
        </w:rPr>
      </w:pPr>
      <w:r>
        <w:rPr>
          <w:rFonts w:hint="eastAsia" w:ascii="仿宋" w:hAnsi="仿宋" w:eastAsia="仿宋" w:cs="仿宋_GB2312"/>
          <w:b/>
          <w:bCs/>
          <w:color w:val="auto"/>
          <w:sz w:val="32"/>
          <w:szCs w:val="32"/>
        </w:rPr>
        <w:t>竞技体育成绩斐然。</w:t>
      </w:r>
      <w:r>
        <w:rPr>
          <w:rFonts w:hint="eastAsia" w:ascii="仿宋" w:hAnsi="仿宋" w:eastAsia="仿宋" w:cs="仿宋_GB2312"/>
          <w:color w:val="auto"/>
          <w:sz w:val="32"/>
          <w:szCs w:val="32"/>
        </w:rPr>
        <w:t>“</w:t>
      </w:r>
      <w:r>
        <w:rPr>
          <w:rFonts w:hint="eastAsia" w:ascii="仿宋" w:hAnsi="仿宋" w:eastAsia="仿宋" w:cstheme="minorBidi"/>
          <w:bCs/>
          <w:color w:val="auto"/>
          <w:sz w:val="32"/>
          <w:szCs w:val="32"/>
        </w:rPr>
        <w:t>十三五”期间，我市竞技体育水平不断提升，以奥运、全运、省运一体化为目标，着眼长远，严格按照项目规律科学训练，竞技体育发展取得优异成绩。五年来，我市创建市级体育传统项目学校53所，国家重点高水平体育后备人才基地1个，国家单项高水平后备人才基地5个。</w:t>
      </w:r>
      <w:r>
        <w:rPr>
          <w:rFonts w:hint="eastAsia" w:ascii="仿宋" w:hAnsi="仿宋" w:eastAsia="仿宋" w:cs="仿宋"/>
          <w:color w:val="auto"/>
          <w:sz w:val="32"/>
          <w:szCs w:val="32"/>
        </w:rPr>
        <w:t>焦作籍运动员获得世界冠军10个，亚洲冠军5个，全国冠军40个。2017年第十三届全国运动会，我市共有44人参赛，获得5金1银4铜的优异成绩，参赛人数和成绩均居全省前列。2018年焦作体育代表团参加河南省第十三届运动会，被授予河南省青少年竞技人才培训贡献奖、体育道德风尚奖和优秀组织奖，青少年竞技组以91枚金牌排名第二，总分2560.75分排名第三，综合成绩位列全省第一军团。2019年第二届全国青年运动会，59名焦作体育健儿顽强拼搏，取得9枚金牌、4枚银牌、22枚铜牌的优异成绩，为焦作增光添彩。我市培养输送的赛艇世界冠军吴强自从2018年以来，共获得2次世界杯冠军、2次世锦赛冠军和1次亚运会冠军。篮球运动员李月汝、张茹入选国家女子篮球队。</w:t>
      </w:r>
    </w:p>
    <w:p>
      <w:pPr>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体教融合力度不断加大。</w:t>
      </w:r>
      <w:r>
        <w:rPr>
          <w:rFonts w:hint="eastAsia" w:ascii="仿宋" w:hAnsi="仿宋" w:eastAsia="仿宋" w:cstheme="minorBidi"/>
          <w:bCs/>
          <w:color w:val="auto"/>
          <w:sz w:val="32"/>
          <w:szCs w:val="32"/>
        </w:rPr>
        <w:t>“十三五”期间，通过“开足、开齐体育课”“组织实施大课间活动”“加大经费投入”“加强体育教师队伍建设”等方式，切实将“学生每天一小时校园体育活动”落到实处，推动“阳光体育活动”的开展。目前创建国家级足球特色学校66所、青少年体育俱乐部9所，省级以上体育传统项目学校31所，市级青少年体育俱乐部23个，县（市、区）级以上体育特色项目学校有130所。全市学生体质健康优秀率已达20%，学校体育场地对外开放率达到80%以上。</w:t>
      </w:r>
    </w:p>
    <w:p>
      <w:pPr>
        <w:pStyle w:val="4"/>
        <w:spacing w:before="0" w:after="0" w:line="560" w:lineRule="exact"/>
        <w:ind w:firstLine="642" w:firstLineChars="200"/>
        <w:rPr>
          <w:rFonts w:ascii="宋体" w:hAnsi="宋体" w:cs="宋体"/>
          <w:color w:val="auto"/>
        </w:rPr>
      </w:pPr>
      <w:bookmarkStart w:id="33" w:name="_Toc15061"/>
      <w:bookmarkStart w:id="34" w:name="_Toc9390"/>
      <w:bookmarkStart w:id="35" w:name="_Toc3188"/>
      <w:bookmarkStart w:id="36" w:name="_Toc787"/>
      <w:bookmarkStart w:id="37" w:name="_Toc79870465"/>
      <w:r>
        <w:rPr>
          <w:rFonts w:hint="eastAsia" w:ascii="楷体" w:hAnsi="楷体" w:eastAsia="楷体" w:cs="楷体"/>
          <w:color w:val="auto"/>
        </w:rPr>
        <w:t>（三）体育产业发展</w:t>
      </w:r>
      <w:bookmarkEnd w:id="33"/>
      <w:bookmarkEnd w:id="34"/>
      <w:bookmarkEnd w:id="35"/>
      <w:bookmarkEnd w:id="36"/>
      <w:r>
        <w:rPr>
          <w:rFonts w:hint="eastAsia" w:ascii="楷体" w:hAnsi="楷体" w:eastAsia="楷体" w:cs="楷体"/>
          <w:color w:val="auto"/>
        </w:rPr>
        <w:t>量质齐升</w:t>
      </w:r>
      <w:bookmarkEnd w:id="37"/>
    </w:p>
    <w:p>
      <w:pPr>
        <w:spacing w:line="560" w:lineRule="exact"/>
        <w:ind w:firstLine="640" w:firstLineChars="200"/>
        <w:rPr>
          <w:b/>
          <w:bCs/>
          <w:color w:val="auto"/>
          <w:sz w:val="32"/>
          <w:szCs w:val="32"/>
        </w:rPr>
      </w:pPr>
      <w:r>
        <w:rPr>
          <w:rFonts w:hint="eastAsia" w:ascii="仿宋" w:hAnsi="仿宋" w:eastAsia="仿宋" w:cstheme="minorBidi"/>
          <w:bCs/>
          <w:color w:val="auto"/>
          <w:sz w:val="32"/>
          <w:szCs w:val="32"/>
        </w:rPr>
        <w:t>“十三五”期间，跟产业相关的各类组织数量呈递增态势，其中体育协会和体育俱乐部257家、体育企业203家，经营或服务范围涉及体育用品制造、</w:t>
      </w:r>
      <w:r>
        <w:rPr>
          <w:rFonts w:hint="eastAsia" w:ascii="仿宋" w:hAnsi="仿宋" w:eastAsia="仿宋" w:cs="仿宋_GB2312"/>
          <w:color w:val="auto"/>
          <w:sz w:val="32"/>
          <w:szCs w:val="32"/>
        </w:rPr>
        <w:t>体育竞赛表演、体育教育与培训、体育健身休闲、体育中介服务等各类型体育业务。产业示范效应初步显现，先后创建中国体育旅游十佳精品目的地1个、十佳精品景区1个、精品景区2个和精品赛事1个、5星级汽车户外营地1个，省级体育产业示范单位2个、省级体育小镇1个，市级体育产业示范基地19个，建成国家体育旅游示范基地1个、省级体育旅游基地1个。此外，焦作体育彩票产品结构不断完善，运营能力不断提升，2016-2020年全市共销售体育彩票30.75亿元。</w:t>
      </w:r>
      <w:bookmarkStart w:id="38" w:name="_Toc3930"/>
    </w:p>
    <w:p>
      <w:pPr>
        <w:pStyle w:val="4"/>
        <w:spacing w:before="0" w:after="0" w:line="560" w:lineRule="exact"/>
        <w:ind w:firstLine="642" w:firstLineChars="200"/>
        <w:rPr>
          <w:rFonts w:ascii="楷体" w:hAnsi="楷体" w:eastAsia="楷体" w:cs="楷体"/>
          <w:color w:val="auto"/>
        </w:rPr>
      </w:pPr>
      <w:bookmarkStart w:id="39" w:name="_Toc10560"/>
      <w:bookmarkStart w:id="40" w:name="_Toc23416"/>
      <w:bookmarkStart w:id="41" w:name="_Toc21626"/>
      <w:bookmarkStart w:id="42" w:name="_Toc79870466"/>
      <w:r>
        <w:rPr>
          <w:rFonts w:hint="eastAsia" w:ascii="楷体" w:hAnsi="楷体" w:eastAsia="楷体" w:cs="楷体"/>
          <w:color w:val="auto"/>
        </w:rPr>
        <w:t>（四）体育文化</w:t>
      </w:r>
      <w:bookmarkEnd w:id="38"/>
      <w:bookmarkEnd w:id="39"/>
      <w:bookmarkEnd w:id="40"/>
      <w:bookmarkEnd w:id="41"/>
      <w:r>
        <w:rPr>
          <w:rFonts w:hint="eastAsia" w:ascii="楷体" w:hAnsi="楷体" w:eastAsia="楷体" w:cs="楷体"/>
          <w:color w:val="auto"/>
        </w:rPr>
        <w:t>影响不断扩大</w:t>
      </w:r>
      <w:bookmarkEnd w:id="42"/>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仿宋_GB2312"/>
          <w:color w:val="auto"/>
          <w:sz w:val="32"/>
          <w:szCs w:val="32"/>
        </w:rPr>
        <w:t>“</w:t>
      </w:r>
      <w:r>
        <w:rPr>
          <w:rFonts w:hint="eastAsia" w:ascii="仿宋" w:hAnsi="仿宋" w:eastAsia="仿宋" w:cstheme="minorBidi"/>
          <w:bCs/>
          <w:color w:val="auto"/>
          <w:sz w:val="32"/>
          <w:szCs w:val="32"/>
        </w:rPr>
        <w:t>十三五”期间，我市围绕打造“世界太极城、中原养生地”战略目标，把太极拳作为全市体育发展的重点，每年开展太极拳赛事交流活动百余场，知名赛事活动如“中国焦作国际太极拳大赛”、“太极助力乡村振兴”和“2019‘一带一路’太极行”等赛事活动引起央视、人民网等多家新闻媒体关注，影响力辐射全球。焦作作为全国15个篮球城市之一，篮球文化氛围浓厚，2011年至今，每年7、8月份举办的篮球文化节已连续开展十</w:t>
      </w:r>
      <w:r>
        <w:rPr>
          <w:rFonts w:hint="eastAsia" w:ascii="仿宋" w:hAnsi="仿宋" w:eastAsia="仿宋" w:cstheme="minorBidi"/>
          <w:bCs/>
          <w:color w:val="auto"/>
          <w:sz w:val="32"/>
          <w:szCs w:val="32"/>
          <w:lang w:eastAsia="zh-CN"/>
        </w:rPr>
        <w:t>一</w:t>
      </w:r>
      <w:r>
        <w:rPr>
          <w:rFonts w:hint="eastAsia" w:ascii="仿宋" w:hAnsi="仿宋" w:eastAsia="仿宋" w:cstheme="minorBidi"/>
          <w:bCs/>
          <w:color w:val="auto"/>
          <w:sz w:val="32"/>
          <w:szCs w:val="32"/>
        </w:rPr>
        <w:t>届，每届参与运动员达2000人。</w:t>
      </w:r>
    </w:p>
    <w:p>
      <w:pPr>
        <w:pStyle w:val="4"/>
        <w:spacing w:before="0" w:after="0" w:line="560" w:lineRule="exact"/>
        <w:ind w:firstLine="642" w:firstLineChars="200"/>
        <w:rPr>
          <w:rFonts w:ascii="楷体" w:hAnsi="楷体" w:eastAsia="楷体" w:cs="楷体"/>
          <w:bCs w:val="0"/>
          <w:color w:val="auto"/>
        </w:rPr>
      </w:pPr>
      <w:bookmarkStart w:id="43" w:name="_Toc2218"/>
      <w:bookmarkStart w:id="44" w:name="_Toc1184"/>
      <w:bookmarkStart w:id="45" w:name="_Toc14172"/>
      <w:bookmarkStart w:id="46" w:name="_Toc27592"/>
      <w:bookmarkStart w:id="47" w:name="_Toc79870467"/>
      <w:r>
        <w:rPr>
          <w:rFonts w:hint="eastAsia" w:ascii="楷体" w:hAnsi="楷体" w:eastAsia="楷体" w:cs="楷体"/>
          <w:bCs w:val="0"/>
          <w:color w:val="auto"/>
        </w:rPr>
        <w:t>（五）体育改革成效</w:t>
      </w:r>
      <w:bookmarkEnd w:id="43"/>
      <w:bookmarkEnd w:id="44"/>
      <w:bookmarkEnd w:id="45"/>
      <w:bookmarkEnd w:id="46"/>
      <w:r>
        <w:rPr>
          <w:rFonts w:hint="eastAsia" w:ascii="楷体" w:hAnsi="楷体" w:eastAsia="楷体" w:cs="楷体"/>
          <w:bCs w:val="0"/>
          <w:color w:val="auto"/>
        </w:rPr>
        <w:t>初步显现</w:t>
      </w:r>
      <w:bookmarkEnd w:id="47"/>
    </w:p>
    <w:p>
      <w:pPr>
        <w:spacing w:line="560" w:lineRule="exact"/>
        <w:ind w:firstLine="640" w:firstLineChars="200"/>
        <w:rPr>
          <w:color w:val="auto"/>
          <w:sz w:val="24"/>
          <w:szCs w:val="24"/>
        </w:rPr>
      </w:pPr>
      <w:r>
        <w:rPr>
          <w:rFonts w:hint="eastAsia" w:ascii="仿宋" w:hAnsi="仿宋" w:eastAsia="仿宋" w:cstheme="minorBidi"/>
          <w:bCs/>
          <w:color w:val="auto"/>
          <w:sz w:val="32"/>
          <w:szCs w:val="32"/>
        </w:rPr>
        <w:t>“十三五”期间，焦作市政府出台了《关于加快发展体育产业促进体育消费的实施意见》（焦政〔2015〕22号），明确提出鼓励社会力量参与、创新体育场馆运营机制、引导培育市场主体3项任务。焦作体育部门积极响应，推动河南省射击射箭运动管理中心与焦作市三利达射箭股份有限公司达成战略合作，由该公司冠名省射箭队并设立河南省射箭训练基地，共同探索竞技体育发展之路。体教融合方面，《焦作市青少年体育俱乐部管理办法》明确要求，把青少年体育工作放在“五位一体”总体布局和“四个全面”战略布局中去谋划、统筹和推进，积极推动运动项目普及开展，为选拔培养后备人才创造条件。</w:t>
      </w:r>
    </w:p>
    <w:p>
      <w:pPr>
        <w:pStyle w:val="3"/>
        <w:spacing w:before="0" w:after="0" w:line="560" w:lineRule="exact"/>
        <w:ind w:firstLine="642" w:firstLineChars="200"/>
        <w:rPr>
          <w:rFonts w:ascii="黑体" w:hAnsi="黑体" w:eastAsia="黑体" w:cs="黑体"/>
          <w:b w:val="0"/>
          <w:bCs w:val="0"/>
          <w:color w:val="auto"/>
        </w:rPr>
      </w:pPr>
      <w:bookmarkStart w:id="48" w:name="_Toc18614"/>
      <w:bookmarkStart w:id="49" w:name="_Toc17067"/>
      <w:bookmarkStart w:id="50" w:name="_Toc2763"/>
      <w:bookmarkStart w:id="51" w:name="_Toc23566"/>
      <w:bookmarkStart w:id="52" w:name="_Toc18259"/>
      <w:bookmarkStart w:id="53" w:name="_Toc8840"/>
      <w:bookmarkStart w:id="54" w:name="_Toc79870468"/>
      <w:bookmarkStart w:id="55" w:name="_Toc8025"/>
      <w:bookmarkStart w:id="56" w:name="_Toc24412"/>
      <w:r>
        <w:rPr>
          <w:rFonts w:hint="eastAsia" w:ascii="黑体" w:hAnsi="黑体" w:eastAsia="黑体" w:cs="黑体"/>
          <w:color w:val="auto"/>
        </w:rPr>
        <w:t>二、“十四五”焦作体育发展面临的机遇</w:t>
      </w:r>
      <w:bookmarkEnd w:id="48"/>
      <w:bookmarkEnd w:id="49"/>
      <w:bookmarkEnd w:id="50"/>
      <w:bookmarkEnd w:id="51"/>
      <w:r>
        <w:rPr>
          <w:rFonts w:hint="eastAsia" w:ascii="黑体" w:hAnsi="黑体" w:eastAsia="黑体" w:cs="黑体"/>
          <w:color w:val="auto"/>
        </w:rPr>
        <w:t>和挑战</w:t>
      </w:r>
      <w:bookmarkEnd w:id="52"/>
      <w:bookmarkEnd w:id="53"/>
      <w:bookmarkEnd w:id="54"/>
      <w:bookmarkEnd w:id="55"/>
      <w:bookmarkEnd w:id="56"/>
    </w:p>
    <w:p>
      <w:pPr>
        <w:spacing w:line="560" w:lineRule="exact"/>
        <w:ind w:firstLine="642"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国家政策推动体育深度发展。</w:t>
      </w:r>
      <w:bookmarkStart w:id="57" w:name="_Toc1260270233"/>
      <w:r>
        <w:rPr>
          <w:rFonts w:hint="eastAsia" w:ascii="仿宋" w:hAnsi="仿宋" w:eastAsia="仿宋" w:cs="仿宋_GB2312"/>
          <w:color w:val="auto"/>
          <w:sz w:val="32"/>
          <w:szCs w:val="32"/>
        </w:rPr>
        <w:t>“十三五”期间，党中央、国务院出台多项推进体育事业发展的重大决策。2019年8月10日出台的</w:t>
      </w:r>
      <w:r>
        <w:rPr>
          <w:rFonts w:hint="eastAsia" w:ascii="仿宋" w:hAnsi="仿宋" w:eastAsia="仿宋"/>
          <w:color w:val="auto"/>
          <w:sz w:val="32"/>
          <w:szCs w:val="32"/>
        </w:rPr>
        <w:t>《体育强国建设纲要》要求，“不断满足人民对美好生活的需要，努力将体育建设成为中华民族伟大复兴的标志性事业”。2019年9月4日</w:t>
      </w:r>
      <w:r>
        <w:rPr>
          <w:rFonts w:hint="eastAsia" w:ascii="仿宋" w:hAnsi="仿宋" w:eastAsia="仿宋" w:cs="仿宋_GB2312"/>
          <w:color w:val="auto"/>
          <w:sz w:val="32"/>
          <w:szCs w:val="32"/>
        </w:rPr>
        <w:t>发布的《关于促进全民健身和体育消费推动体育产业高质量发展的意见》指出，“</w:t>
      </w:r>
      <w:r>
        <w:rPr>
          <w:rFonts w:hint="eastAsia" w:ascii="仿宋" w:hAnsi="仿宋" w:eastAsia="仿宋"/>
          <w:color w:val="auto"/>
          <w:sz w:val="32"/>
          <w:szCs w:val="32"/>
        </w:rPr>
        <w:t>强化体育产业要素保障，激发市场活力和消费热情，推动体育产业成为国民经济支柱性产业。</w:t>
      </w:r>
      <w:r>
        <w:rPr>
          <w:rFonts w:hint="eastAsia" w:ascii="仿宋" w:hAnsi="仿宋" w:eastAsia="仿宋" w:cs="仿宋_GB2312"/>
          <w:color w:val="auto"/>
          <w:sz w:val="32"/>
          <w:szCs w:val="32"/>
        </w:rPr>
        <w:t>”2020年10月10日出台的《关于加强全民健身场地设施建设发展群众体育的意见》要求，“完善健身设施建设顶层设计，增加健身设施有效供给，补齐群众身边的健身设施短板。”这些政策表明体育在经济社会发展中发挥着越来越重要的作用，也为更好地发展体育事业提供了强大支撑。“十四五”时期，是焦作进一步推进体育发展的关键期，需要进一步把握大势，积极响应国家号召、落实国家政策，不断推动焦作体育事业迈向新台阶。</w:t>
      </w:r>
    </w:p>
    <w:bookmarkEnd w:id="57"/>
    <w:p>
      <w:pPr>
        <w:spacing w:line="560" w:lineRule="exact"/>
        <w:ind w:firstLine="642"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融合发展创新体育发展新模式。</w:t>
      </w:r>
      <w:r>
        <w:rPr>
          <w:rFonts w:hint="eastAsia" w:ascii="仿宋" w:hAnsi="仿宋" w:eastAsia="仿宋" w:cs="仿宋_GB2312"/>
          <w:color w:val="auto"/>
          <w:sz w:val="32"/>
          <w:szCs w:val="32"/>
        </w:rPr>
        <w:t>“十四五”时期，体育融合发展上升至新高度。2020年9月22日习近平总书记在教育文化卫生体育领域专家代表座谈会上强调，“</w:t>
      </w:r>
      <w:r>
        <w:rPr>
          <w:rFonts w:hint="eastAsia" w:ascii="仿宋" w:hAnsi="仿宋" w:eastAsia="仿宋"/>
          <w:bCs/>
          <w:color w:val="auto"/>
          <w:sz w:val="32"/>
          <w:szCs w:val="32"/>
        </w:rPr>
        <w:t>要推动健康关口前移，建立体育和卫生健康等部门协同、全社会共同参与的运动促进健康新模式</w:t>
      </w:r>
      <w:r>
        <w:rPr>
          <w:rFonts w:hint="eastAsia" w:ascii="仿宋" w:hAnsi="仿宋" w:eastAsia="仿宋" w:cs="仿宋_GB2312"/>
          <w:color w:val="auto"/>
          <w:sz w:val="32"/>
          <w:szCs w:val="32"/>
        </w:rPr>
        <w:t>”、“要坚持健康第一的教育理念，加强学校体育工作，推动青少年文化学习和体育锻炼协调发展”。国家</w:t>
      </w:r>
      <w:r>
        <w:rPr>
          <w:rFonts w:hint="eastAsia" w:ascii="仿宋" w:hAnsi="仿宋" w:eastAsia="仿宋"/>
          <w:bCs/>
          <w:color w:val="auto"/>
          <w:sz w:val="32"/>
          <w:szCs w:val="32"/>
        </w:rPr>
        <w:t>体育总局和教育部发布的《关于深化体教融合促进青少年健康发展的意见》，要求坚持“一体化设计、一体化推进”的总体原则，推动体育教育思想融合、目标融合、资源融合、措施融合。上述政策将推动“十四五”时期焦作体教融合深层次发展，力争打造体教融合“焦作经验”。</w:t>
      </w:r>
    </w:p>
    <w:p>
      <w:pPr>
        <w:spacing w:line="560" w:lineRule="exact"/>
        <w:ind w:firstLine="642"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区域协同促进体育一体化发展。</w:t>
      </w:r>
      <w:r>
        <w:rPr>
          <w:rFonts w:hint="eastAsia" w:ascii="仿宋" w:hAnsi="仿宋" w:eastAsia="仿宋" w:cs="仿宋_GB2312"/>
          <w:color w:val="auto"/>
          <w:sz w:val="32"/>
          <w:szCs w:val="32"/>
        </w:rPr>
        <w:t>“十三五”期间，</w:t>
      </w:r>
      <w:r>
        <w:rPr>
          <w:rFonts w:ascii="仿宋" w:hAnsi="仿宋" w:eastAsia="仿宋" w:cs="仿宋_GB2312"/>
          <w:color w:val="auto"/>
          <w:sz w:val="32"/>
          <w:szCs w:val="32"/>
        </w:rPr>
        <w:t>国家发展改革委发</w:t>
      </w:r>
      <w:r>
        <w:rPr>
          <w:rFonts w:hint="eastAsia" w:ascii="仿宋" w:hAnsi="仿宋" w:eastAsia="仿宋" w:cs="仿宋_GB2312"/>
          <w:color w:val="auto"/>
          <w:sz w:val="32"/>
          <w:szCs w:val="32"/>
        </w:rPr>
        <w:t>布</w:t>
      </w:r>
      <w:r>
        <w:rPr>
          <w:rFonts w:ascii="仿宋" w:hAnsi="仿宋" w:eastAsia="仿宋" w:cs="仿宋_GB2312"/>
          <w:color w:val="auto"/>
          <w:sz w:val="32"/>
          <w:szCs w:val="32"/>
        </w:rPr>
        <w:t>《中原城市群发展规划》</w:t>
      </w:r>
      <w:r>
        <w:rPr>
          <w:rFonts w:hint="eastAsia" w:ascii="仿宋" w:hAnsi="仿宋" w:eastAsia="仿宋" w:cs="仿宋_GB2312"/>
          <w:color w:val="auto"/>
          <w:sz w:val="32"/>
          <w:szCs w:val="32"/>
        </w:rPr>
        <w:t>，提出</w:t>
      </w:r>
      <w:r>
        <w:rPr>
          <w:rFonts w:ascii="仿宋" w:hAnsi="仿宋" w:eastAsia="仿宋" w:cs="仿宋_GB2312"/>
          <w:color w:val="auto"/>
          <w:sz w:val="32"/>
          <w:szCs w:val="32"/>
        </w:rPr>
        <w:t>推动郑州与开封、新乡、焦作、许昌四市深度融合，建设现代化大都市区</w:t>
      </w:r>
      <w:r>
        <w:rPr>
          <w:rFonts w:hint="eastAsia" w:ascii="仿宋" w:hAnsi="仿宋" w:eastAsia="仿宋" w:cs="仿宋_GB2312"/>
          <w:color w:val="auto"/>
          <w:sz w:val="32"/>
          <w:szCs w:val="32"/>
        </w:rPr>
        <w:t>。焦作市发布的《郑焦一体化发展规划》提出，着力构建“一河通五轴、一带联两心、两山协两拳”总体发展布局。“</w:t>
      </w:r>
      <w:r>
        <w:rPr>
          <w:rFonts w:ascii="仿宋" w:hAnsi="仿宋" w:eastAsia="仿宋" w:cs="仿宋_GB2312"/>
          <w:color w:val="auto"/>
          <w:sz w:val="32"/>
          <w:szCs w:val="32"/>
        </w:rPr>
        <w:t>十四五</w:t>
      </w:r>
      <w:r>
        <w:rPr>
          <w:rFonts w:hint="eastAsia" w:ascii="仿宋" w:hAnsi="仿宋" w:eastAsia="仿宋" w:cs="仿宋_GB2312"/>
          <w:color w:val="auto"/>
          <w:sz w:val="32"/>
          <w:szCs w:val="32"/>
        </w:rPr>
        <w:t>”</w:t>
      </w:r>
      <w:r>
        <w:rPr>
          <w:rFonts w:ascii="仿宋" w:hAnsi="仿宋" w:eastAsia="仿宋" w:cs="仿宋_GB2312"/>
          <w:color w:val="auto"/>
          <w:sz w:val="32"/>
          <w:szCs w:val="32"/>
        </w:rPr>
        <w:t>时期将是</w:t>
      </w:r>
      <w:r>
        <w:rPr>
          <w:rFonts w:hint="eastAsia" w:ascii="仿宋" w:hAnsi="仿宋" w:eastAsia="仿宋" w:cs="仿宋_GB2312"/>
          <w:color w:val="auto"/>
          <w:sz w:val="32"/>
          <w:szCs w:val="32"/>
        </w:rPr>
        <w:t>郑焦一体化发展的</w:t>
      </w:r>
      <w:r>
        <w:rPr>
          <w:rFonts w:ascii="仿宋" w:hAnsi="仿宋" w:eastAsia="仿宋" w:cs="仿宋_GB2312"/>
          <w:color w:val="auto"/>
          <w:sz w:val="32"/>
          <w:szCs w:val="32"/>
        </w:rPr>
        <w:t>重要时期，</w:t>
      </w:r>
      <w:r>
        <w:rPr>
          <w:rFonts w:hint="eastAsia" w:ascii="仿宋" w:hAnsi="仿宋" w:eastAsia="仿宋" w:cs="仿宋_GB2312"/>
          <w:color w:val="auto"/>
          <w:sz w:val="32"/>
          <w:szCs w:val="32"/>
        </w:rPr>
        <w:t>城市协同发展将为焦作优化体育资源配置和拓展发展空间带来新的可能</w:t>
      </w:r>
      <w:r>
        <w:rPr>
          <w:rFonts w:ascii="仿宋" w:hAnsi="仿宋" w:eastAsia="仿宋" w:cs="仿宋_GB2312"/>
          <w:color w:val="auto"/>
          <w:sz w:val="32"/>
          <w:szCs w:val="32"/>
        </w:rPr>
        <w:t>。</w:t>
      </w:r>
    </w:p>
    <w:p>
      <w:pPr>
        <w:spacing w:line="560" w:lineRule="exact"/>
        <w:ind w:firstLine="642"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自然人文优势助力</w:t>
      </w:r>
      <w:r>
        <w:rPr>
          <w:rFonts w:ascii="仿宋" w:hAnsi="仿宋" w:eastAsia="仿宋" w:cs="仿宋_GB2312"/>
          <w:b/>
          <w:bCs/>
          <w:color w:val="auto"/>
          <w:sz w:val="32"/>
          <w:szCs w:val="32"/>
        </w:rPr>
        <w:t>体育创新发展。</w:t>
      </w:r>
      <w:r>
        <w:rPr>
          <w:rFonts w:hint="eastAsia" w:ascii="仿宋" w:hAnsi="仿宋" w:eastAsia="仿宋" w:cs="仿宋_GB2312"/>
          <w:color w:val="auto"/>
          <w:sz w:val="32"/>
          <w:szCs w:val="32"/>
        </w:rPr>
        <w:t>焦作市南临黄河，北依太行山，拥有云台山、神农山、青天河等丰富的山水资源，同时也是太极拳发源地。“十四五”时期，是推进“世界太极城、中国养生地”、“黄河流域生态保护和高质量发展”，实施“一河两山两拳战略”的重要时期，是打造黄河流域生态保护和高质量发展典范、建立国际知名文旅康养产业展示区，增强太极文化品牌影响力的关键期。充分发挥焦作山水优势，促进体育创新发展将成为体育工作重点。</w:t>
      </w:r>
    </w:p>
    <w:p>
      <w:pPr>
        <w:pStyle w:val="7"/>
        <w:spacing w:line="560" w:lineRule="exact"/>
        <w:ind w:firstLine="640" w:firstLineChars="200"/>
        <w:jc w:val="both"/>
        <w:rPr>
          <w:rFonts w:ascii="仿宋" w:hAnsi="仿宋" w:eastAsia="仿宋" w:cs="仿宋_GB2312"/>
          <w:color w:val="auto"/>
          <w:sz w:val="32"/>
          <w:szCs w:val="32"/>
        </w:rPr>
      </w:pPr>
      <w:bookmarkStart w:id="58" w:name="_Toc11790"/>
      <w:bookmarkStart w:id="59" w:name="_Toc16890"/>
      <w:r>
        <w:rPr>
          <w:rFonts w:hint="eastAsia" w:ascii="仿宋" w:hAnsi="仿宋" w:eastAsia="仿宋" w:cstheme="minorBidi"/>
          <w:bCs/>
          <w:color w:val="auto"/>
          <w:sz w:val="32"/>
          <w:szCs w:val="32"/>
        </w:rPr>
        <w:t>“十三五”期间，焦作</w:t>
      </w:r>
      <w:r>
        <w:rPr>
          <w:rFonts w:ascii="仿宋" w:hAnsi="仿宋" w:eastAsia="仿宋" w:cstheme="minorBidi"/>
          <w:bCs/>
          <w:color w:val="auto"/>
          <w:sz w:val="32"/>
          <w:szCs w:val="32"/>
        </w:rPr>
        <w:t>体育事业发展虽然取得了优异成绩，但与新时</w:t>
      </w:r>
      <w:r>
        <w:rPr>
          <w:rFonts w:hint="eastAsia" w:ascii="仿宋" w:hAnsi="仿宋" w:eastAsia="仿宋" w:cstheme="minorBidi"/>
          <w:bCs/>
          <w:color w:val="auto"/>
          <w:sz w:val="32"/>
          <w:szCs w:val="32"/>
        </w:rPr>
        <w:t>期</w:t>
      </w:r>
      <w:r>
        <w:rPr>
          <w:rFonts w:ascii="仿宋" w:hAnsi="仿宋" w:eastAsia="仿宋" w:cstheme="minorBidi"/>
          <w:bCs/>
          <w:color w:val="auto"/>
          <w:sz w:val="32"/>
          <w:szCs w:val="32"/>
        </w:rPr>
        <w:t>新要求相比还存在一定差距，</w:t>
      </w:r>
      <w:bookmarkEnd w:id="58"/>
      <w:bookmarkEnd w:id="59"/>
      <w:r>
        <w:rPr>
          <w:rFonts w:hint="eastAsia" w:ascii="仿宋" w:hAnsi="仿宋" w:eastAsia="仿宋" w:cstheme="minorBidi"/>
          <w:bCs/>
          <w:color w:val="auto"/>
          <w:sz w:val="32"/>
          <w:szCs w:val="32"/>
        </w:rPr>
        <w:t>表现在尚未</w:t>
      </w:r>
      <w:r>
        <w:rPr>
          <w:rFonts w:hint="eastAsia" w:ascii="仿宋" w:hAnsi="仿宋" w:eastAsia="仿宋" w:cs="仿宋_GB2312"/>
          <w:color w:val="auto"/>
          <w:sz w:val="32"/>
          <w:szCs w:val="32"/>
        </w:rPr>
        <w:t>形成</w:t>
      </w:r>
      <w:r>
        <w:rPr>
          <w:rFonts w:hint="eastAsia" w:ascii="仿宋" w:hAnsi="仿宋" w:eastAsia="仿宋" w:cstheme="minorBidi"/>
          <w:bCs/>
          <w:color w:val="auto"/>
          <w:sz w:val="32"/>
          <w:szCs w:val="32"/>
        </w:rPr>
        <w:t>政府主导、部门协同、全社会共同参与的“大群体”工作格局，竞技体育机制问题突出，体育产业尚处初级阶段，高水平体育人才缺乏，体育消费观念尚未形成，加之</w:t>
      </w:r>
      <w:r>
        <w:rPr>
          <w:rFonts w:hint="eastAsia" w:ascii="仿宋" w:hAnsi="仿宋" w:eastAsia="仿宋"/>
          <w:bCs/>
          <w:color w:val="auto"/>
          <w:sz w:val="32"/>
          <w:szCs w:val="32"/>
        </w:rPr>
        <w:t>新冠疫情影响加剧经济发展的不确定性、不稳定性等，给焦作体育发展带来了挑战。</w:t>
      </w:r>
      <w:r>
        <w:rPr>
          <w:rFonts w:ascii="仿宋" w:hAnsi="仿宋" w:eastAsia="仿宋" w:cs="仿宋_GB2312"/>
          <w:color w:val="auto"/>
          <w:sz w:val="32"/>
          <w:szCs w:val="32"/>
        </w:rPr>
        <w:t>“十四五”时期</w:t>
      </w:r>
      <w:r>
        <w:rPr>
          <w:rFonts w:hint="eastAsia" w:ascii="仿宋" w:hAnsi="仿宋" w:eastAsia="仿宋" w:cs="仿宋_GB2312"/>
          <w:color w:val="auto"/>
          <w:sz w:val="32"/>
          <w:szCs w:val="32"/>
        </w:rPr>
        <w:t>，焦作体育要准确实变、科学应变、主动求变，科学把握新发展阶段，深入贯彻新发展理念，主动融入</w:t>
      </w:r>
      <w:r>
        <w:rPr>
          <w:rFonts w:ascii="仿宋" w:hAnsi="仿宋" w:eastAsia="仿宋" w:cs="仿宋_GB2312"/>
          <w:color w:val="auto"/>
          <w:sz w:val="32"/>
          <w:szCs w:val="32"/>
        </w:rPr>
        <w:t>国内大循环为主体、国际国内双循环发展格局</w:t>
      </w:r>
      <w:r>
        <w:rPr>
          <w:rFonts w:hint="eastAsia" w:ascii="仿宋" w:hAnsi="仿宋" w:eastAsia="仿宋" w:cs="仿宋_GB2312"/>
          <w:color w:val="auto"/>
          <w:sz w:val="32"/>
          <w:szCs w:val="32"/>
        </w:rPr>
        <w:t>，积极挖掘焦作体育发展潜力，推动焦作体育迈上新台阶。</w:t>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theme="minorBidi"/>
          <w:color w:val="auto"/>
          <w:sz w:val="32"/>
          <w:szCs w:val="32"/>
        </w:rPr>
      </w:pPr>
      <w:bookmarkStart w:id="60" w:name="_Toc31647"/>
      <w:bookmarkStart w:id="61" w:name="_Toc29691"/>
      <w:bookmarkStart w:id="62" w:name="_Toc12641"/>
      <w:bookmarkStart w:id="63" w:name="_Toc26067"/>
      <w:bookmarkStart w:id="64" w:name="_Toc5688"/>
      <w:bookmarkStart w:id="65" w:name="_Toc31345"/>
      <w:bookmarkStart w:id="66" w:name="_Toc4193"/>
      <w:bookmarkStart w:id="67" w:name="_Toc32112"/>
      <w:bookmarkStart w:id="68" w:name="_Toc24574"/>
    </w:p>
    <w:p>
      <w:pPr>
        <w:pStyle w:val="2"/>
        <w:pageBreakBefore w:val="0"/>
        <w:widowControl w:val="0"/>
        <w:kinsoku/>
        <w:wordWrap/>
        <w:overflowPunct/>
        <w:topLinePunct w:val="0"/>
        <w:autoSpaceDE/>
        <w:autoSpaceDN/>
        <w:bidi w:val="0"/>
        <w:adjustRightInd/>
        <w:snapToGrid/>
        <w:spacing w:before="0" w:after="0" w:line="560" w:lineRule="exact"/>
        <w:textAlignment w:val="auto"/>
        <w:rPr>
          <w:color w:val="auto"/>
        </w:rPr>
      </w:pP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ascii="黑体" w:hAnsi="黑体" w:eastAsia="黑体" w:cs="黑体"/>
          <w:color w:val="auto"/>
          <w:sz w:val="32"/>
          <w:szCs w:val="32"/>
        </w:rPr>
      </w:pPr>
      <w:bookmarkStart w:id="69" w:name="_Toc79870469"/>
      <w:r>
        <w:rPr>
          <w:rFonts w:hint="eastAsia" w:ascii="宋体" w:hAnsi="宋体" w:cs="宋体"/>
          <w:color w:val="auto"/>
        </w:rPr>
        <w:t>第二章 总体战略</w:t>
      </w:r>
      <w:bookmarkEnd w:id="60"/>
      <w:bookmarkEnd w:id="61"/>
      <w:bookmarkEnd w:id="62"/>
      <w:bookmarkEnd w:id="63"/>
      <w:bookmarkEnd w:id="64"/>
      <w:bookmarkEnd w:id="65"/>
      <w:bookmarkEnd w:id="66"/>
      <w:bookmarkEnd w:id="67"/>
      <w:bookmarkEnd w:id="68"/>
      <w:bookmarkEnd w:id="69"/>
    </w:p>
    <w:p>
      <w:pPr>
        <w:pageBreakBefore w:val="0"/>
        <w:widowControl w:val="0"/>
        <w:kinsoku/>
        <w:wordWrap/>
        <w:overflowPunct/>
        <w:topLinePunct w:val="0"/>
        <w:autoSpaceDE/>
        <w:autoSpaceDN/>
        <w:bidi w:val="0"/>
        <w:adjustRightInd/>
        <w:snapToGrid/>
        <w:spacing w:line="560" w:lineRule="exact"/>
        <w:textAlignment w:val="auto"/>
        <w:rPr>
          <w:rFonts w:asciiTheme="majorHAnsi" w:hAnsiTheme="majorHAnsi" w:eastAsiaTheme="majorEastAsia" w:cstheme="majorBidi"/>
          <w:color w:val="auto"/>
        </w:rPr>
      </w:pPr>
      <w:bookmarkStart w:id="70" w:name="_Toc8103"/>
      <w:bookmarkStart w:id="71" w:name="_Toc16697"/>
      <w:bookmarkStart w:id="72" w:name="_Toc30747"/>
      <w:bookmarkStart w:id="73" w:name="_Toc20001"/>
      <w:bookmarkStart w:id="74" w:name="_Toc24405"/>
      <w:bookmarkStart w:id="75" w:name="_Toc30223"/>
      <w:bookmarkStart w:id="76" w:name="_Toc6321"/>
      <w:bookmarkStart w:id="77" w:name="_Toc20271"/>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cs="黑体"/>
          <w:b w:val="0"/>
          <w:bCs w:val="0"/>
          <w:color w:val="auto"/>
        </w:rPr>
      </w:pPr>
      <w:bookmarkStart w:id="78" w:name="_Toc79870470"/>
      <w:r>
        <w:rPr>
          <w:rFonts w:hint="eastAsia" w:ascii="黑体" w:hAnsi="黑体" w:eastAsia="黑体" w:cs="黑体"/>
          <w:b w:val="0"/>
          <w:bCs w:val="0"/>
          <w:color w:val="auto"/>
        </w:rPr>
        <w:t>一、指导思想</w:t>
      </w:r>
      <w:bookmarkEnd w:id="70"/>
      <w:bookmarkEnd w:id="71"/>
      <w:bookmarkEnd w:id="72"/>
      <w:bookmarkEnd w:id="73"/>
      <w:bookmarkEnd w:id="74"/>
      <w:bookmarkEnd w:id="75"/>
      <w:bookmarkEnd w:id="76"/>
      <w:bookmarkEnd w:id="77"/>
      <w:bookmarkEnd w:id="7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华文仿宋"/>
          <w:bCs/>
          <w:color w:val="auto"/>
          <w:kern w:val="0"/>
          <w:sz w:val="32"/>
          <w:szCs w:val="32"/>
        </w:rPr>
      </w:pPr>
      <w:bookmarkStart w:id="79" w:name="_Toc29358"/>
      <w:r>
        <w:rPr>
          <w:rFonts w:hint="eastAsia" w:ascii="仿宋" w:hAnsi="仿宋" w:eastAsia="仿宋" w:cs="仿宋_GB2312"/>
          <w:color w:val="auto"/>
          <w:sz w:val="32"/>
          <w:szCs w:val="32"/>
        </w:rPr>
        <w:t>坚持以习近平新时代中国特色社会主义思想为指导，深入贯彻落实习近平总书记关于体育工作重要论述和视察河南重要讲话精神，紧抓“郑焦一体化”、“黄河流域高质量发展”等重大战略，</w:t>
      </w:r>
      <w:r>
        <w:rPr>
          <w:rFonts w:hint="eastAsia" w:ascii="仿宋" w:hAnsi="仿宋" w:eastAsia="仿宋" w:cstheme="minorBidi"/>
          <w:bCs/>
          <w:color w:val="auto"/>
          <w:sz w:val="32"/>
          <w:szCs w:val="32"/>
        </w:rPr>
        <w:t>以建设全面体现新发展理念示范城市为引领，以推动体育高质量发展为主题，全方位打造“世界太极城、中国养生地”，推动群众体育和竞技体育、体育产业全面均衡协调发展，</w:t>
      </w:r>
      <w:r>
        <w:rPr>
          <w:rFonts w:hint="eastAsia" w:eastAsia="华文仿宋"/>
          <w:bCs/>
          <w:color w:val="auto"/>
          <w:kern w:val="0"/>
          <w:sz w:val="32"/>
          <w:szCs w:val="32"/>
        </w:rPr>
        <w:t>持续提升体育发展的质量和效益，使体育成为贯彻“五位一体”总体布局和“四个全面”战略布局的生动实践，全力谱写新时代焦作在中原更加出彩中出重彩更精彩的绚丽篇章。</w:t>
      </w:r>
    </w:p>
    <w:p>
      <w:pPr>
        <w:pStyle w:val="3"/>
        <w:spacing w:before="0" w:after="0" w:line="560" w:lineRule="exact"/>
        <w:ind w:firstLine="640" w:firstLineChars="200"/>
        <w:rPr>
          <w:rFonts w:ascii="黑体" w:hAnsi="黑体" w:eastAsia="黑体" w:cs="黑体"/>
          <w:b w:val="0"/>
          <w:bCs w:val="0"/>
          <w:color w:val="auto"/>
        </w:rPr>
      </w:pPr>
      <w:bookmarkStart w:id="80" w:name="_Toc79870471"/>
      <w:bookmarkStart w:id="81" w:name="_Toc10236"/>
      <w:bookmarkStart w:id="82" w:name="_Toc16028"/>
      <w:bookmarkStart w:id="83" w:name="_Toc25704"/>
      <w:bookmarkStart w:id="84" w:name="_Toc24993"/>
      <w:bookmarkStart w:id="85" w:name="_Toc10554"/>
      <w:bookmarkStart w:id="86" w:name="_Toc15597"/>
      <w:bookmarkStart w:id="87" w:name="_Toc22024"/>
      <w:r>
        <w:rPr>
          <w:rFonts w:hint="eastAsia" w:ascii="黑体" w:hAnsi="黑体" w:eastAsia="黑体" w:cs="黑体"/>
          <w:b w:val="0"/>
          <w:bCs w:val="0"/>
          <w:color w:val="auto"/>
        </w:rPr>
        <w:t>二、发展原则</w:t>
      </w:r>
      <w:bookmarkEnd w:id="79"/>
      <w:bookmarkEnd w:id="80"/>
      <w:bookmarkEnd w:id="81"/>
      <w:bookmarkEnd w:id="82"/>
      <w:bookmarkEnd w:id="83"/>
      <w:bookmarkEnd w:id="84"/>
      <w:bookmarkEnd w:id="85"/>
      <w:bookmarkEnd w:id="86"/>
      <w:bookmarkEnd w:id="87"/>
    </w:p>
    <w:p>
      <w:pPr>
        <w:spacing w:line="560" w:lineRule="exact"/>
        <w:ind w:firstLine="642" w:firstLineChars="200"/>
        <w:rPr>
          <w:rFonts w:ascii="仿宋" w:hAnsi="仿宋" w:eastAsia="仿宋" w:cstheme="minorBidi"/>
          <w:bCs/>
          <w:color w:val="auto"/>
          <w:sz w:val="32"/>
          <w:szCs w:val="32"/>
        </w:rPr>
      </w:pPr>
      <w:bookmarkStart w:id="88" w:name="_Toc431468296"/>
      <w:r>
        <w:rPr>
          <w:rFonts w:hint="eastAsia" w:ascii="仿宋" w:hAnsi="仿宋" w:eastAsia="仿宋" w:cs="仿宋_GB2312"/>
          <w:b/>
          <w:bCs/>
          <w:color w:val="auto"/>
          <w:sz w:val="32"/>
          <w:szCs w:val="32"/>
        </w:rPr>
        <w:t>以人为本。</w:t>
      </w:r>
      <w:r>
        <w:rPr>
          <w:rFonts w:hint="eastAsia" w:ascii="仿宋" w:hAnsi="仿宋" w:eastAsia="仿宋" w:cs="仿宋_GB2312"/>
          <w:color w:val="auto"/>
          <w:sz w:val="32"/>
          <w:szCs w:val="32"/>
        </w:rPr>
        <w:t>坚持</w:t>
      </w:r>
      <w:r>
        <w:rPr>
          <w:rFonts w:hint="eastAsia" w:ascii="仿宋" w:hAnsi="仿宋" w:eastAsia="仿宋" w:cstheme="minorBidi"/>
          <w:bCs/>
          <w:color w:val="auto"/>
          <w:sz w:val="32"/>
          <w:szCs w:val="32"/>
        </w:rPr>
        <w:t>大体育、大健康理念，促进体育精神回归本质。引导群众增强健身意识、科学锻炼身体、提高身体素质，形成良好的健康消费理念。注重体育与健康、养老、医疗等领域良性互动，推动体育事业为广大人民群众的身心健康服务。</w:t>
      </w:r>
    </w:p>
    <w:bookmarkEnd w:id="88"/>
    <w:p>
      <w:pPr>
        <w:spacing w:line="560" w:lineRule="exact"/>
        <w:ind w:firstLine="642" w:firstLineChars="200"/>
        <w:rPr>
          <w:rFonts w:ascii="仿宋" w:hAnsi="仿宋" w:eastAsia="仿宋" w:cstheme="minorBidi"/>
          <w:bCs/>
          <w:color w:val="auto"/>
          <w:sz w:val="32"/>
          <w:szCs w:val="32"/>
        </w:rPr>
      </w:pPr>
      <w:r>
        <w:rPr>
          <w:rFonts w:hint="eastAsia" w:ascii="仿宋" w:hAnsi="仿宋" w:eastAsia="仿宋" w:cs="仿宋_GB2312"/>
          <w:b/>
          <w:bCs/>
          <w:color w:val="auto"/>
          <w:sz w:val="32"/>
          <w:szCs w:val="32"/>
        </w:rPr>
        <w:t>改革创新。</w:t>
      </w:r>
      <w:r>
        <w:rPr>
          <w:rFonts w:hint="eastAsia" w:ascii="仿宋" w:hAnsi="仿宋" w:eastAsia="仿宋" w:cstheme="minorBidi"/>
          <w:bCs/>
          <w:color w:val="auto"/>
          <w:sz w:val="32"/>
          <w:szCs w:val="32"/>
        </w:rPr>
        <w:t>坚持解放思想、实事求是、与时俱进，转变发展方式，破除制约体育发展的障碍，激发体育内在活力，促进体育社会化、生活化发展。</w:t>
      </w:r>
      <w:r>
        <w:rPr>
          <w:rFonts w:hint="eastAsia" w:ascii="仿宋" w:hAnsi="仿宋" w:eastAsia="仿宋" w:cs="仿宋_GB2312"/>
          <w:color w:val="auto"/>
          <w:sz w:val="32"/>
          <w:szCs w:val="32"/>
        </w:rPr>
        <w:t>大力弘扬</w:t>
      </w:r>
      <w:r>
        <w:rPr>
          <w:rFonts w:hint="eastAsia" w:ascii="仿宋" w:hAnsi="仿宋" w:eastAsia="仿宋" w:cstheme="minorBidi"/>
          <w:bCs/>
          <w:color w:val="auto"/>
          <w:sz w:val="32"/>
          <w:szCs w:val="32"/>
        </w:rPr>
        <w:t>自主创新精神，加强现代信息技术在体育领域的成果转化和应用，促进体育信息化、智慧化发展。</w:t>
      </w:r>
    </w:p>
    <w:p>
      <w:pPr>
        <w:spacing w:line="560" w:lineRule="exact"/>
        <w:ind w:firstLine="642"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多重驱动。</w:t>
      </w:r>
      <w:r>
        <w:rPr>
          <w:rFonts w:hint="eastAsia" w:ascii="仿宋" w:hAnsi="仿宋" w:eastAsia="仿宋" w:cstheme="minorBidi"/>
          <w:bCs/>
          <w:color w:val="auto"/>
          <w:sz w:val="32"/>
          <w:szCs w:val="32"/>
        </w:rPr>
        <w:t>坚持发挥政府对体育发展的引导作用，调动社会参与体育发展的积极性，遵循市场决定资源配置的客观规律，妥善处理“政府、社会、市场”三者关系，进一步深化“放管服”改革，完善配套政策，创新服务方式，推动体育健康发展。</w:t>
      </w:r>
    </w:p>
    <w:p>
      <w:pPr>
        <w:spacing w:line="560" w:lineRule="exact"/>
        <w:ind w:firstLine="642" w:firstLineChars="200"/>
        <w:rPr>
          <w:rFonts w:ascii="仿宋" w:hAnsi="仿宋" w:eastAsia="仿宋" w:cstheme="minorBidi"/>
          <w:bCs/>
          <w:color w:val="auto"/>
          <w:sz w:val="32"/>
          <w:szCs w:val="32"/>
        </w:rPr>
      </w:pPr>
      <w:bookmarkStart w:id="89" w:name="_Toc431468299"/>
      <w:r>
        <w:rPr>
          <w:rFonts w:hint="eastAsia" w:ascii="仿宋" w:hAnsi="仿宋" w:eastAsia="仿宋" w:cs="仿宋_GB2312"/>
          <w:b/>
          <w:bCs/>
          <w:color w:val="auto"/>
          <w:sz w:val="32"/>
          <w:szCs w:val="32"/>
        </w:rPr>
        <w:t>统筹融合</w:t>
      </w:r>
      <w:bookmarkEnd w:id="89"/>
      <w:r>
        <w:rPr>
          <w:rFonts w:hint="eastAsia" w:ascii="仿宋" w:hAnsi="仿宋" w:eastAsia="仿宋" w:cs="仿宋_GB2312"/>
          <w:b/>
          <w:bCs/>
          <w:color w:val="auto"/>
          <w:sz w:val="32"/>
          <w:szCs w:val="32"/>
        </w:rPr>
        <w:t>。</w:t>
      </w:r>
      <w:r>
        <w:rPr>
          <w:rFonts w:hint="eastAsia" w:ascii="仿宋" w:hAnsi="仿宋" w:eastAsia="仿宋" w:cstheme="minorBidi"/>
          <w:bCs/>
          <w:color w:val="auto"/>
          <w:sz w:val="32"/>
          <w:szCs w:val="32"/>
        </w:rPr>
        <w:t>坚持体育跨区域协同发展的新方向，坚持群众体育、竞技体育、青少年体育和体育产业融合发展的新理念，坚持遵循体育与教育、医疗、文化、科技、旅游、金融等领域融合发展的新趋势。</w:t>
      </w:r>
    </w:p>
    <w:p>
      <w:pPr>
        <w:pStyle w:val="3"/>
        <w:spacing w:before="0" w:after="0" w:line="560" w:lineRule="exact"/>
        <w:ind w:firstLine="642" w:firstLineChars="200"/>
        <w:rPr>
          <w:rFonts w:ascii="黑体" w:hAnsi="黑体" w:eastAsia="黑体" w:cs="黑体"/>
          <w:color w:val="auto"/>
        </w:rPr>
      </w:pPr>
      <w:bookmarkStart w:id="90" w:name="_Toc30524"/>
      <w:bookmarkStart w:id="91" w:name="_Toc13423"/>
      <w:bookmarkStart w:id="92" w:name="_Toc971"/>
      <w:bookmarkStart w:id="93" w:name="_Toc21424"/>
      <w:bookmarkStart w:id="94" w:name="_Toc27309"/>
      <w:bookmarkStart w:id="95" w:name="_Toc10410"/>
      <w:bookmarkStart w:id="96" w:name="_Toc79870472"/>
      <w:bookmarkStart w:id="97" w:name="_Toc2215"/>
      <w:bookmarkStart w:id="98" w:name="_Toc12684"/>
      <w:r>
        <w:rPr>
          <w:rFonts w:hint="eastAsia" w:ascii="黑体" w:hAnsi="黑体" w:eastAsia="黑体" w:cs="黑体"/>
          <w:color w:val="auto"/>
        </w:rPr>
        <w:t>三、发展目标</w:t>
      </w:r>
      <w:bookmarkEnd w:id="90"/>
      <w:bookmarkEnd w:id="91"/>
      <w:bookmarkEnd w:id="92"/>
      <w:bookmarkEnd w:id="93"/>
      <w:bookmarkEnd w:id="94"/>
      <w:bookmarkEnd w:id="95"/>
      <w:bookmarkEnd w:id="96"/>
      <w:bookmarkEnd w:id="97"/>
      <w:bookmarkEnd w:id="98"/>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到202</w:t>
      </w:r>
      <w:r>
        <w:rPr>
          <w:rFonts w:ascii="仿宋" w:hAnsi="仿宋" w:eastAsia="仿宋" w:cs="仿宋_GB2312"/>
          <w:color w:val="auto"/>
          <w:sz w:val="32"/>
          <w:szCs w:val="32"/>
        </w:rPr>
        <w:t>5</w:t>
      </w:r>
      <w:r>
        <w:rPr>
          <w:rFonts w:hint="eastAsia" w:ascii="仿宋" w:hAnsi="仿宋" w:eastAsia="仿宋" w:cs="仿宋_GB2312"/>
          <w:color w:val="auto"/>
          <w:sz w:val="32"/>
          <w:szCs w:val="32"/>
        </w:rPr>
        <w:t>年，基本形成</w:t>
      </w:r>
      <w:r>
        <w:rPr>
          <w:rFonts w:ascii="仿宋" w:hAnsi="仿宋" w:eastAsia="仿宋" w:cs="仿宋_GB2312"/>
          <w:color w:val="auto"/>
          <w:sz w:val="32"/>
          <w:szCs w:val="32"/>
        </w:rPr>
        <w:t>体育运动</w:t>
      </w:r>
      <w:r>
        <w:rPr>
          <w:rFonts w:hint="eastAsia" w:ascii="仿宋" w:hAnsi="仿宋" w:eastAsia="仿宋" w:cs="仿宋_GB2312"/>
          <w:color w:val="auto"/>
          <w:sz w:val="32"/>
          <w:szCs w:val="32"/>
        </w:rPr>
        <w:t>参与人数逐年增加，</w:t>
      </w:r>
      <w:r>
        <w:rPr>
          <w:rFonts w:ascii="仿宋" w:hAnsi="仿宋" w:eastAsia="仿宋" w:cs="仿宋_GB2312"/>
          <w:color w:val="auto"/>
          <w:sz w:val="32"/>
          <w:szCs w:val="32"/>
        </w:rPr>
        <w:t>群众健身</w:t>
      </w:r>
      <w:r>
        <w:rPr>
          <w:rFonts w:hint="eastAsia" w:ascii="仿宋" w:hAnsi="仿宋" w:eastAsia="仿宋" w:cs="仿宋_GB2312"/>
          <w:color w:val="auto"/>
          <w:sz w:val="32"/>
          <w:szCs w:val="32"/>
        </w:rPr>
        <w:t>活动影响更加广泛，竞技人才梯队基本形成，体育产业规模大幅提升</w:t>
      </w:r>
      <w:r>
        <w:rPr>
          <w:rFonts w:ascii="仿宋" w:hAnsi="仿宋" w:eastAsia="仿宋" w:cs="仿宋_GB2312"/>
          <w:color w:val="auto"/>
          <w:sz w:val="32"/>
          <w:szCs w:val="32"/>
        </w:rPr>
        <w:t>，</w:t>
      </w:r>
      <w:r>
        <w:rPr>
          <w:rFonts w:hint="eastAsia" w:ascii="仿宋" w:hAnsi="仿宋" w:eastAsia="仿宋" w:cs="仿宋_GB2312"/>
          <w:color w:val="auto"/>
          <w:sz w:val="32"/>
          <w:szCs w:val="32"/>
        </w:rPr>
        <w:t>服务供给日益完善，体育文化影响不断扩大，体育改革初见成效的体育发展新格局。</w:t>
      </w:r>
    </w:p>
    <w:p>
      <w:pPr>
        <w:spacing w:line="560" w:lineRule="exact"/>
        <w:ind w:firstLine="642"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公共服务体系不断完善。</w:t>
      </w:r>
      <w:r>
        <w:rPr>
          <w:rFonts w:hint="eastAsia" w:ascii="仿宋" w:hAnsi="仿宋" w:eastAsia="仿宋" w:cstheme="minorBidi"/>
          <w:bCs/>
          <w:color w:val="auto"/>
          <w:sz w:val="32"/>
          <w:szCs w:val="32"/>
        </w:rPr>
        <w:t>以创建全国全民运动健身模范市为目标，全民健身意识不断增强；市民体质不断改善，健康水平明显提高；健身设施全面覆盖，基本满足广大人民群众锻炼需求；健身活动蓬勃开展，特色品牌影响力持续增强；健身组织不断发展，服务网络不断完善，全民健身和全民健康深度融合、互促互惠。到“十四五”末，经常参加体育锻炼人数占</w:t>
      </w:r>
      <w:r>
        <w:rPr>
          <w:rFonts w:hint="eastAsia" w:ascii="仿宋" w:hAnsi="仿宋" w:eastAsia="仿宋" w:cstheme="minorBidi"/>
          <w:bCs/>
          <w:color w:val="auto"/>
          <w:sz w:val="32"/>
          <w:szCs w:val="32"/>
        </w:rPr>
        <w:t>比</w:t>
      </w:r>
      <w:r>
        <w:rPr>
          <w:rFonts w:hint="eastAsia" w:ascii="仿宋" w:hAnsi="仿宋" w:eastAsia="仿宋" w:cstheme="minorBidi"/>
          <w:bCs/>
          <w:color w:val="auto"/>
          <w:sz w:val="32"/>
          <w:szCs w:val="32"/>
          <w:lang w:val="en-US" w:eastAsia="zh-CN"/>
        </w:rPr>
        <w:t>40</w:t>
      </w:r>
      <w:r>
        <w:rPr>
          <w:rFonts w:hint="eastAsia" w:ascii="仿宋" w:hAnsi="仿宋" w:eastAsia="仿宋" w:cstheme="minorBidi"/>
          <w:bCs/>
          <w:color w:val="auto"/>
          <w:sz w:val="32"/>
          <w:szCs w:val="32"/>
        </w:rPr>
        <w:t>%</w:t>
      </w:r>
      <w:r>
        <w:rPr>
          <w:rFonts w:hint="eastAsia" w:ascii="仿宋" w:hAnsi="仿宋" w:eastAsia="仿宋" w:cstheme="minorBidi"/>
          <w:bCs/>
          <w:color w:val="auto"/>
          <w:sz w:val="32"/>
          <w:szCs w:val="32"/>
        </w:rPr>
        <w:t>以上，</w:t>
      </w:r>
      <w:r>
        <w:rPr>
          <w:rFonts w:hint="eastAsia" w:ascii="仿宋" w:hAnsi="仿宋" w:eastAsia="仿宋" w:cstheme="minorBidi"/>
          <w:bCs/>
          <w:color w:val="auto"/>
          <w:sz w:val="32"/>
          <w:szCs w:val="32"/>
          <w:lang w:eastAsia="zh-CN"/>
        </w:rPr>
        <w:t>国</w:t>
      </w:r>
      <w:r>
        <w:rPr>
          <w:rFonts w:hint="eastAsia" w:ascii="仿宋" w:hAnsi="仿宋" w:eastAsia="仿宋" w:cstheme="minorBidi"/>
          <w:bCs/>
          <w:color w:val="auto"/>
          <w:sz w:val="32"/>
          <w:szCs w:val="32"/>
        </w:rPr>
        <w:t>民体质达标率超过94%，人均体育场地面积达到</w:t>
      </w:r>
      <w:r>
        <w:rPr>
          <w:rFonts w:ascii="仿宋" w:hAnsi="仿宋" w:eastAsia="仿宋" w:cstheme="minorBidi"/>
          <w:bCs/>
          <w:color w:val="auto"/>
          <w:sz w:val="32"/>
          <w:szCs w:val="32"/>
        </w:rPr>
        <w:t>2.6</w:t>
      </w:r>
      <w:r>
        <w:rPr>
          <w:rFonts w:hint="eastAsia" w:ascii="仿宋" w:hAnsi="仿宋" w:eastAsia="仿宋" w:cstheme="minorBidi"/>
          <w:bCs/>
          <w:color w:val="auto"/>
          <w:sz w:val="32"/>
          <w:szCs w:val="32"/>
        </w:rPr>
        <w:t>平方米。</w:t>
      </w:r>
    </w:p>
    <w:p>
      <w:pPr>
        <w:spacing w:line="560" w:lineRule="exact"/>
        <w:ind w:firstLine="642"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竞技体育实力显著提升。</w:t>
      </w:r>
      <w:r>
        <w:rPr>
          <w:rFonts w:hint="eastAsia" w:ascii="仿宋" w:hAnsi="仿宋" w:eastAsia="仿宋" w:cstheme="minorBidi"/>
          <w:bCs/>
          <w:color w:val="auto"/>
          <w:sz w:val="32"/>
          <w:szCs w:val="32"/>
        </w:rPr>
        <w:t>竞技体育项目布局更加科学合理，优势项目与国家、省紧密衔接，相互补充。推行奥运争光计划，确保</w:t>
      </w:r>
      <w:r>
        <w:rPr>
          <w:rFonts w:hint="eastAsia" w:ascii="仿宋" w:hAnsi="仿宋" w:eastAsia="仿宋" w:cstheme="minorBidi"/>
          <w:bCs/>
          <w:color w:val="auto"/>
          <w:sz w:val="32"/>
          <w:szCs w:val="32"/>
          <w:u w:val="none"/>
        </w:rPr>
        <w:t>奥运有牌、全运增金、省运有位</w:t>
      </w:r>
      <w:r>
        <w:rPr>
          <w:rFonts w:hint="eastAsia" w:ascii="仿宋" w:hAnsi="仿宋" w:eastAsia="仿宋" w:cstheme="minorBidi"/>
          <w:bCs/>
          <w:color w:val="auto"/>
          <w:sz w:val="32"/>
          <w:szCs w:val="32"/>
        </w:rPr>
        <w:t>目标。通过创建“国家高水平体育后备人才基地”，完善后备人才培养体系，</w:t>
      </w:r>
      <w:r>
        <w:rPr>
          <w:rFonts w:ascii="仿宋" w:hAnsi="仿宋" w:eastAsia="仿宋" w:cstheme="minorBidi"/>
          <w:bCs/>
          <w:color w:val="auto"/>
          <w:sz w:val="32"/>
          <w:szCs w:val="32"/>
        </w:rPr>
        <w:t>保持各训练单位常年在训人数达1500人</w:t>
      </w:r>
      <w:r>
        <w:rPr>
          <w:rFonts w:hint="eastAsia" w:ascii="仿宋" w:hAnsi="仿宋" w:eastAsia="仿宋" w:cstheme="minorBidi"/>
          <w:bCs/>
          <w:color w:val="auto"/>
          <w:sz w:val="32"/>
          <w:szCs w:val="32"/>
        </w:rPr>
        <w:t>。</w:t>
      </w:r>
      <w:bookmarkStart w:id="99" w:name="_Toc1189983476"/>
    </w:p>
    <w:p>
      <w:pPr>
        <w:spacing w:line="560" w:lineRule="exact"/>
        <w:ind w:firstLine="642" w:firstLineChars="200"/>
        <w:rPr>
          <w:rFonts w:ascii="仿宋" w:hAnsi="仿宋" w:eastAsia="仿宋" w:cstheme="minorBidi"/>
          <w:bCs/>
          <w:color w:val="auto"/>
          <w:sz w:val="32"/>
          <w:szCs w:val="32"/>
        </w:rPr>
      </w:pPr>
      <w:r>
        <w:rPr>
          <w:rFonts w:hint="eastAsia" w:ascii="仿宋" w:hAnsi="仿宋" w:eastAsia="仿宋" w:cs="仿宋_GB2312"/>
          <w:b/>
          <w:bCs/>
          <w:color w:val="auto"/>
          <w:sz w:val="32"/>
          <w:szCs w:val="32"/>
        </w:rPr>
        <w:t>体育产业</w:t>
      </w:r>
      <w:bookmarkEnd w:id="99"/>
      <w:r>
        <w:rPr>
          <w:rFonts w:hint="eastAsia" w:ascii="仿宋" w:hAnsi="仿宋" w:eastAsia="仿宋" w:cs="仿宋_GB2312"/>
          <w:b/>
          <w:bCs/>
          <w:color w:val="auto"/>
          <w:sz w:val="32"/>
          <w:szCs w:val="32"/>
        </w:rPr>
        <w:t>规模不断扩大。</w:t>
      </w:r>
      <w:r>
        <w:rPr>
          <w:rFonts w:hint="eastAsia" w:ascii="仿宋" w:hAnsi="仿宋" w:eastAsia="仿宋" w:cstheme="minorBidi"/>
          <w:bCs/>
          <w:color w:val="auto"/>
          <w:sz w:val="32"/>
          <w:szCs w:val="32"/>
        </w:rPr>
        <w:t>到2025年，基本建成特色鲜明、门类齐全、链条完整、市场强劲的体育产业发展格局，体育产业总规模处于全省领先地位，成为推动经济社会持续发展的重要力量。推动建立和完善体育健身服务、体育竞赛表演、体育旅游等具有焦作特色的体育产业体系，打造1-2个竞争力突出的体育产业集聚区和体育赛事品牌，实现体育产业65亿元发展目标。体育彩票销售继续扩大，力争“十四五”时期体育彩票销售额达40亿元。</w:t>
      </w:r>
    </w:p>
    <w:p>
      <w:pPr>
        <w:spacing w:line="560" w:lineRule="exact"/>
        <w:ind w:firstLine="642" w:firstLineChars="200"/>
        <w:rPr>
          <w:rFonts w:ascii="仿宋" w:hAnsi="仿宋" w:eastAsia="仿宋" w:cstheme="minorBidi"/>
          <w:bCs/>
          <w:color w:val="auto"/>
          <w:sz w:val="32"/>
          <w:szCs w:val="32"/>
        </w:rPr>
      </w:pPr>
      <w:bookmarkStart w:id="100" w:name="_Toc1612312646"/>
      <w:r>
        <w:rPr>
          <w:rFonts w:hint="eastAsia" w:ascii="仿宋" w:hAnsi="仿宋" w:eastAsia="仿宋" w:cs="仿宋_GB2312"/>
          <w:b/>
          <w:bCs/>
          <w:color w:val="auto"/>
          <w:sz w:val="32"/>
          <w:szCs w:val="32"/>
        </w:rPr>
        <w:t>体育</w:t>
      </w:r>
      <w:r>
        <w:rPr>
          <w:rFonts w:ascii="仿宋" w:hAnsi="仿宋" w:eastAsia="仿宋" w:cs="仿宋_GB2312"/>
          <w:b/>
          <w:bCs/>
          <w:color w:val="auto"/>
          <w:sz w:val="32"/>
          <w:szCs w:val="32"/>
        </w:rPr>
        <w:t>融合</w:t>
      </w:r>
      <w:bookmarkEnd w:id="100"/>
      <w:r>
        <w:rPr>
          <w:rFonts w:hint="eastAsia" w:ascii="仿宋" w:hAnsi="仿宋" w:eastAsia="仿宋" w:cs="仿宋_GB2312"/>
          <w:b/>
          <w:bCs/>
          <w:color w:val="auto"/>
          <w:sz w:val="32"/>
          <w:szCs w:val="32"/>
        </w:rPr>
        <w:t>发展不断深入。</w:t>
      </w:r>
      <w:r>
        <w:rPr>
          <w:rFonts w:hint="eastAsia" w:ascii="仿宋" w:hAnsi="仿宋" w:eastAsia="仿宋" w:cstheme="minorBidi"/>
          <w:bCs/>
          <w:color w:val="auto"/>
          <w:sz w:val="32"/>
          <w:szCs w:val="32"/>
        </w:rPr>
        <w:t>着力推进体教融合、体医融合、区域融合发展。建立健全青少年体育工作机制，深度推进体教融合，以“体教融合”提升青少年体育发展质量。加强体医融合，进一步推动焦作“医、养、食、药、学、游”融合发展。抓住区域融合发展机遇，与洛阳市达成战略合作协议，强化资源共享，联合承办高级别赛事，形成区域体育协同发展新格局；继续办好“中国焦作国际太极拳大赛”等具有国际影响力的赛事活动；依托黄河生态文化带、南太行生态旅游带，推进体旅融合，打造沿黄河系列赛、南太行系列赛等原创性赛事。</w:t>
      </w:r>
    </w:p>
    <w:p>
      <w:pPr>
        <w:pStyle w:val="45"/>
        <w:spacing w:line="560" w:lineRule="exact"/>
        <w:ind w:firstLine="642" w:firstLineChars="200"/>
        <w:rPr>
          <w:rFonts w:eastAsia="仿宋"/>
          <w:color w:val="auto"/>
        </w:rPr>
      </w:pPr>
      <w:r>
        <w:rPr>
          <w:rFonts w:hint="eastAsia" w:ascii="仿宋" w:hAnsi="仿宋" w:eastAsia="仿宋" w:cs="仿宋_GB2312"/>
          <w:b/>
          <w:bCs/>
          <w:color w:val="auto"/>
          <w:sz w:val="32"/>
          <w:szCs w:val="32"/>
        </w:rPr>
        <w:t>体育文化内涵不断丰富。</w:t>
      </w:r>
      <w:r>
        <w:rPr>
          <w:rFonts w:hint="eastAsia" w:ascii="仿宋" w:hAnsi="仿宋" w:eastAsia="仿宋" w:cs="仿宋_GB2312"/>
          <w:color w:val="auto"/>
          <w:sz w:val="32"/>
          <w:szCs w:val="32"/>
        </w:rPr>
        <w:t>不断充实《体育主题展示馆》、《太极博物馆》内涵，</w:t>
      </w:r>
      <w:r>
        <w:rPr>
          <w:rFonts w:ascii="仿宋" w:hAnsi="仿宋" w:eastAsia="仿宋" w:cs="仿宋_GB2312"/>
          <w:color w:val="auto"/>
          <w:sz w:val="32"/>
          <w:szCs w:val="32"/>
        </w:rPr>
        <w:t>梳理</w:t>
      </w:r>
      <w:r>
        <w:rPr>
          <w:rFonts w:hint="eastAsia" w:ascii="仿宋" w:hAnsi="仿宋" w:eastAsia="仿宋" w:cs="仿宋_GB2312"/>
          <w:color w:val="auto"/>
          <w:sz w:val="32"/>
          <w:szCs w:val="32"/>
        </w:rPr>
        <w:t>焦作体育</w:t>
      </w:r>
      <w:r>
        <w:rPr>
          <w:rFonts w:ascii="仿宋" w:hAnsi="仿宋" w:eastAsia="仿宋" w:cs="仿宋_GB2312"/>
          <w:color w:val="auto"/>
          <w:sz w:val="32"/>
          <w:szCs w:val="32"/>
        </w:rPr>
        <w:t>发展史</w:t>
      </w:r>
      <w:r>
        <w:rPr>
          <w:rFonts w:hint="eastAsia" w:ascii="仿宋" w:hAnsi="仿宋" w:eastAsia="仿宋" w:cs="仿宋_GB2312"/>
          <w:color w:val="auto"/>
          <w:sz w:val="32"/>
          <w:szCs w:val="32"/>
        </w:rPr>
        <w:t>，</w:t>
      </w:r>
      <w:r>
        <w:rPr>
          <w:rFonts w:ascii="仿宋" w:hAnsi="仿宋" w:eastAsia="仿宋" w:cs="仿宋_GB2312"/>
          <w:color w:val="auto"/>
          <w:sz w:val="32"/>
          <w:szCs w:val="32"/>
        </w:rPr>
        <w:t>发挥</w:t>
      </w:r>
      <w:r>
        <w:rPr>
          <w:rFonts w:hint="eastAsia" w:ascii="仿宋" w:hAnsi="仿宋" w:eastAsia="仿宋" w:cs="仿宋_GB2312"/>
          <w:color w:val="auto"/>
          <w:sz w:val="32"/>
          <w:szCs w:val="32"/>
        </w:rPr>
        <w:t>焦作籍</w:t>
      </w:r>
      <w:r>
        <w:rPr>
          <w:rFonts w:ascii="仿宋" w:hAnsi="仿宋" w:eastAsia="仿宋" w:cs="仿宋_GB2312"/>
          <w:color w:val="auto"/>
          <w:sz w:val="32"/>
          <w:szCs w:val="32"/>
        </w:rPr>
        <w:t>体育明星作用，广泛开展</w:t>
      </w:r>
      <w:r>
        <w:rPr>
          <w:rFonts w:hint="eastAsia" w:ascii="仿宋" w:hAnsi="仿宋" w:eastAsia="仿宋" w:cs="仿宋_GB2312"/>
          <w:color w:val="auto"/>
          <w:sz w:val="32"/>
          <w:szCs w:val="32"/>
        </w:rPr>
        <w:t>世界</w:t>
      </w:r>
      <w:r>
        <w:rPr>
          <w:rFonts w:ascii="仿宋" w:hAnsi="仿宋" w:eastAsia="仿宋" w:cs="仿宋_GB2312"/>
          <w:color w:val="auto"/>
          <w:sz w:val="32"/>
          <w:szCs w:val="32"/>
        </w:rPr>
        <w:t>冠军、体育明星等志愿服务活动，积极传播中华体育精神和奥林匹克精神</w:t>
      </w:r>
      <w:r>
        <w:rPr>
          <w:rFonts w:hint="eastAsia" w:ascii="仿宋" w:hAnsi="仿宋" w:eastAsia="仿宋" w:cs="仿宋_GB2312"/>
          <w:color w:val="auto"/>
          <w:sz w:val="32"/>
          <w:szCs w:val="32"/>
        </w:rPr>
        <w:t>，到“十四五”末在我市新建1个体育博物馆。</w:t>
      </w:r>
    </w:p>
    <w:p>
      <w:pPr>
        <w:pageBreakBefore w:val="0"/>
        <w:widowControl w:val="0"/>
        <w:tabs>
          <w:tab w:val="left" w:pos="567"/>
        </w:tabs>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theme="minorBidi"/>
          <w:bCs/>
          <w:color w:val="auto"/>
          <w:sz w:val="32"/>
          <w:szCs w:val="32"/>
        </w:rPr>
      </w:pPr>
      <w:r>
        <w:rPr>
          <w:rFonts w:hint="eastAsia" w:ascii="仿宋" w:hAnsi="仿宋" w:eastAsia="仿宋" w:cs="仿宋_GB2312"/>
          <w:b/>
          <w:bCs/>
          <w:color w:val="auto"/>
          <w:sz w:val="32"/>
          <w:szCs w:val="32"/>
        </w:rPr>
        <w:t>体育治理能力不断增强。</w:t>
      </w:r>
      <w:r>
        <w:rPr>
          <w:rFonts w:hint="eastAsia" w:ascii="仿宋" w:hAnsi="仿宋" w:eastAsia="仿宋" w:cstheme="minorBidi"/>
          <w:bCs/>
          <w:color w:val="auto"/>
          <w:sz w:val="32"/>
          <w:szCs w:val="32"/>
        </w:rPr>
        <w:t>加快转变政府职能，推进场馆经营、赛事经运营改革，深化体育社团实体化改革，完善体育行业规范。</w:t>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cs="宋体"/>
          <w:color w:val="auto"/>
        </w:rPr>
      </w:pPr>
      <w:bookmarkStart w:id="101" w:name="_Toc32508"/>
      <w:bookmarkStart w:id="102" w:name="_Toc29790"/>
      <w:bookmarkStart w:id="103" w:name="_Toc9566"/>
      <w:bookmarkStart w:id="104" w:name="_Toc22918"/>
      <w:bookmarkStart w:id="105" w:name="_Toc13408"/>
      <w:bookmarkStart w:id="106" w:name="_Toc16438"/>
      <w:bookmarkStart w:id="107" w:name="_Toc79870473"/>
      <w:bookmarkStart w:id="108" w:name="_Toc30255"/>
      <w:bookmarkStart w:id="109" w:name="_Toc32011"/>
      <w:bookmarkStart w:id="110" w:name="_Toc24371"/>
    </w:p>
    <w:p>
      <w:pPr>
        <w:rPr>
          <w:rFonts w:hint="eastAsia"/>
          <w:color w:val="auto"/>
        </w:rPr>
      </w:pP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ascii="宋体" w:hAnsi="宋体" w:cs="宋体"/>
          <w:color w:val="auto"/>
        </w:rPr>
      </w:pPr>
      <w:r>
        <w:rPr>
          <w:rFonts w:hint="eastAsia" w:ascii="宋体" w:hAnsi="宋体" w:cs="宋体"/>
          <w:color w:val="auto"/>
        </w:rPr>
        <w:t>第三章 重点任务</w:t>
      </w:r>
      <w:bookmarkEnd w:id="101"/>
      <w:bookmarkEnd w:id="102"/>
      <w:bookmarkEnd w:id="103"/>
      <w:bookmarkEnd w:id="104"/>
      <w:bookmarkEnd w:id="105"/>
      <w:bookmarkEnd w:id="106"/>
      <w:bookmarkEnd w:id="107"/>
      <w:bookmarkEnd w:id="108"/>
      <w:bookmarkEnd w:id="109"/>
      <w:bookmarkEnd w:id="110"/>
    </w:p>
    <w:p>
      <w:pPr>
        <w:rPr>
          <w:rFonts w:hint="eastAsia" w:ascii="方正仿宋_GBK" w:hAnsi="方正仿宋_GBK" w:eastAsia="方正仿宋_GBK" w:cs="方正仿宋_GBK"/>
          <w:color w:val="auto"/>
          <w:sz w:val="32"/>
          <w:szCs w:val="32"/>
        </w:rPr>
      </w:pPr>
      <w:bookmarkStart w:id="111" w:name="_Toc5127"/>
      <w:bookmarkStart w:id="112" w:name="_Toc27611"/>
      <w:bookmarkStart w:id="113" w:name="_Toc8932"/>
      <w:bookmarkStart w:id="114" w:name="_Toc8258"/>
      <w:bookmarkStart w:id="115" w:name="_Toc31547"/>
      <w:bookmarkStart w:id="116" w:name="_Toc15838"/>
      <w:bookmarkStart w:id="117" w:name="_Toc6533"/>
      <w:bookmarkStart w:id="118" w:name="_Toc22101"/>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cs="黑体"/>
          <w:b w:val="0"/>
          <w:bCs w:val="0"/>
          <w:color w:val="auto"/>
        </w:rPr>
      </w:pPr>
      <w:bookmarkStart w:id="119" w:name="_Toc79870474"/>
      <w:r>
        <w:rPr>
          <w:rFonts w:hint="eastAsia" w:ascii="黑体" w:hAnsi="黑体" w:eastAsia="黑体" w:cs="黑体"/>
          <w:b w:val="0"/>
          <w:bCs w:val="0"/>
          <w:color w:val="auto"/>
        </w:rPr>
        <w:t>一、群众体育全方位发展</w:t>
      </w:r>
      <w:bookmarkEnd w:id="111"/>
      <w:bookmarkEnd w:id="112"/>
      <w:bookmarkEnd w:id="113"/>
      <w:bookmarkEnd w:id="114"/>
      <w:bookmarkEnd w:id="115"/>
      <w:bookmarkEnd w:id="116"/>
      <w:bookmarkEnd w:id="117"/>
      <w:bookmarkEnd w:id="118"/>
      <w:bookmarkEnd w:id="119"/>
    </w:p>
    <w:p>
      <w:pPr>
        <w:pStyle w:val="4"/>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ascii="楷体" w:hAnsi="楷体" w:eastAsia="楷体" w:cs="楷体"/>
          <w:color w:val="auto"/>
        </w:rPr>
      </w:pPr>
      <w:bookmarkStart w:id="120" w:name="_Toc19956"/>
      <w:bookmarkStart w:id="121" w:name="_Toc79870475"/>
      <w:bookmarkStart w:id="122" w:name="_Toc22936"/>
      <w:bookmarkStart w:id="123" w:name="_Toc1182"/>
      <w:bookmarkStart w:id="124" w:name="_Toc7213"/>
      <w:bookmarkStart w:id="125" w:name="_Toc10126"/>
      <w:bookmarkStart w:id="126" w:name="_Toc2950"/>
      <w:bookmarkStart w:id="127" w:name="_Toc925"/>
      <w:bookmarkStart w:id="128" w:name="_Toc31075"/>
      <w:r>
        <w:rPr>
          <w:rFonts w:hint="eastAsia" w:ascii="楷体" w:hAnsi="楷体" w:eastAsia="楷体" w:cs="楷体"/>
          <w:color w:val="auto"/>
        </w:rPr>
        <w:t>（一）丰富群众身边赛事活动</w:t>
      </w:r>
      <w:bookmarkEnd w:id="120"/>
      <w:bookmarkEnd w:id="121"/>
      <w:bookmarkEnd w:id="122"/>
      <w:bookmarkEnd w:id="123"/>
      <w:bookmarkEnd w:id="124"/>
      <w:bookmarkEnd w:id="125"/>
      <w:bookmarkEnd w:id="126"/>
      <w:bookmarkEnd w:id="127"/>
      <w:bookmarkEnd w:id="128"/>
    </w:p>
    <w:p>
      <w:pPr>
        <w:pageBreakBefore w:val="0"/>
        <w:widowControl w:val="0"/>
        <w:tabs>
          <w:tab w:val="left" w:pos="567"/>
        </w:tabs>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bCs/>
          <w:color w:val="auto"/>
          <w:sz w:val="32"/>
          <w:szCs w:val="32"/>
        </w:rPr>
      </w:pPr>
      <w:r>
        <w:rPr>
          <w:rFonts w:hint="eastAsia" w:ascii="仿宋" w:hAnsi="仿宋" w:eastAsia="仿宋" w:cstheme="minorBidi"/>
          <w:bCs/>
          <w:color w:val="auto"/>
          <w:sz w:val="32"/>
          <w:szCs w:val="32"/>
        </w:rPr>
        <w:t>支持各县（市）区 “因地制宜”建设特色群众体育圈，开展适应不同季节、不同地域、不同人群特点的健身活动，逐步实现“一市一品牌、一县一特色、一乡（镇）一亮点”的群众体育活动格局。到2025年，经常参加体育锻炼人数比例达到全市人口39%以上，国民体质监测达标率提升至94%以上</w:t>
      </w:r>
      <w:r>
        <w:rPr>
          <w:rFonts w:hint="eastAsia" w:ascii="仿宋" w:hAnsi="仿宋" w:eastAsia="仿宋" w:cstheme="minorBidi"/>
          <w:bCs/>
          <w:color w:val="auto"/>
          <w:sz w:val="32"/>
          <w:szCs w:val="32"/>
        </w:rPr>
        <w:t>。</w:t>
      </w:r>
    </w:p>
    <w:p>
      <w:pPr>
        <w:pageBreakBefore w:val="0"/>
        <w:widowControl w:val="0"/>
        <w:tabs>
          <w:tab w:val="left" w:pos="567"/>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heme="minorBidi"/>
          <w:bCs/>
          <w:color w:val="auto"/>
          <w:sz w:val="32"/>
          <w:szCs w:val="32"/>
        </w:rPr>
      </w:pPr>
      <w:r>
        <w:rPr>
          <w:rFonts w:hint="eastAsia" w:ascii="仿宋" w:hAnsi="仿宋" w:eastAsia="仿宋" w:cstheme="minorBidi"/>
          <w:bCs/>
          <w:color w:val="auto"/>
          <w:sz w:val="32"/>
          <w:szCs w:val="32"/>
        </w:rPr>
        <w:t>大力培育具有焦作地域特色的全民健身项目，打造1-2项具有国内甚至国际影响力的全民健身品牌项目。</w:t>
      </w:r>
      <w:r>
        <w:rPr>
          <w:rFonts w:hint="eastAsia" w:ascii="仿宋" w:hAnsi="仿宋" w:eastAsia="仿宋" w:cstheme="minorBidi"/>
          <w:bCs/>
          <w:color w:val="auto"/>
          <w:sz w:val="32"/>
          <w:szCs w:val="32"/>
        </w:rPr>
        <w:t>重点打造焦作篮球文化节、</w:t>
      </w:r>
      <w:r>
        <w:rPr>
          <w:rFonts w:hint="eastAsia" w:ascii="仿宋" w:hAnsi="仿宋" w:eastAsia="仿宋" w:cstheme="minorBidi"/>
          <w:bCs/>
          <w:color w:val="auto"/>
          <w:sz w:val="32"/>
          <w:szCs w:val="32"/>
          <w:lang w:eastAsia="zh-CN"/>
        </w:rPr>
        <w:t>郑焦</w:t>
      </w:r>
      <w:r>
        <w:rPr>
          <w:rFonts w:hint="eastAsia" w:ascii="仿宋" w:hAnsi="仿宋" w:eastAsia="仿宋" w:cstheme="minorBidi"/>
          <w:bCs/>
          <w:color w:val="auto"/>
          <w:sz w:val="32"/>
          <w:szCs w:val="32"/>
        </w:rPr>
        <w:t>黄</w:t>
      </w:r>
      <w:r>
        <w:rPr>
          <w:rFonts w:hint="eastAsia" w:ascii="仿宋" w:hAnsi="仿宋" w:eastAsia="仿宋" w:cstheme="minorBidi"/>
          <w:bCs/>
          <w:color w:val="auto"/>
          <w:sz w:val="32"/>
          <w:szCs w:val="32"/>
          <w:lang w:eastAsia="zh-CN"/>
        </w:rPr>
        <w:t>河自行车公开赛、焦作山水户外挑战赛等</w:t>
      </w:r>
      <w:r>
        <w:rPr>
          <w:rFonts w:hint="eastAsia" w:ascii="仿宋" w:hAnsi="仿宋" w:eastAsia="仿宋" w:cstheme="minorBidi"/>
          <w:bCs/>
          <w:color w:val="auto"/>
          <w:sz w:val="32"/>
          <w:szCs w:val="32"/>
        </w:rPr>
        <w:t>全民健身品牌赛事</w:t>
      </w:r>
      <w:r>
        <w:rPr>
          <w:rFonts w:hint="eastAsia" w:ascii="仿宋" w:hAnsi="仿宋" w:eastAsia="仿宋" w:cstheme="minorBidi"/>
          <w:bCs/>
          <w:color w:val="auto"/>
          <w:sz w:val="32"/>
          <w:szCs w:val="32"/>
          <w:lang w:eastAsia="zh-CN"/>
        </w:rPr>
        <w:t>，举办全民健身日、全民健身月、新年长跑登高、重阳老年健身等系列活动。</w:t>
      </w:r>
      <w:r>
        <w:rPr>
          <w:rFonts w:hint="eastAsia" w:ascii="仿宋" w:hAnsi="仿宋" w:eastAsia="仿宋" w:cstheme="minorBidi"/>
          <w:bCs/>
          <w:color w:val="auto"/>
          <w:sz w:val="32"/>
          <w:szCs w:val="32"/>
        </w:rPr>
        <w:t>市、县两级定期按届举办综合性运动会，每年举办不少于</w:t>
      </w:r>
      <w:r>
        <w:rPr>
          <w:rFonts w:hint="eastAsia" w:ascii="仿宋" w:hAnsi="仿宋" w:eastAsia="仿宋" w:cstheme="minorBidi"/>
          <w:bCs/>
          <w:color w:val="auto"/>
          <w:sz w:val="32"/>
          <w:szCs w:val="32"/>
          <w:lang w:val="en-US" w:eastAsia="zh-CN"/>
        </w:rPr>
        <w:t>3</w:t>
      </w:r>
      <w:r>
        <w:rPr>
          <w:rFonts w:hint="eastAsia" w:ascii="仿宋" w:hAnsi="仿宋" w:eastAsia="仿宋" w:cstheme="minorBidi"/>
          <w:bCs/>
          <w:color w:val="auto"/>
          <w:sz w:val="32"/>
          <w:szCs w:val="32"/>
        </w:rPr>
        <w:t>次综合性全民健身运动会</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大力开展群众冬季运动和民族、民俗、民间体育活动。全市每年举办有一定规模的健身赛事（活动）不少于200场。</w:t>
      </w:r>
    </w:p>
    <w:p>
      <w:pPr>
        <w:pStyle w:val="2"/>
        <w:pageBreakBefore w:val="0"/>
        <w:widowControl w:val="0"/>
        <w:kinsoku/>
        <w:wordWrap/>
        <w:overflowPunct/>
        <w:topLinePunct w:val="0"/>
        <w:autoSpaceDE/>
        <w:autoSpaceDN/>
        <w:bidi w:val="0"/>
        <w:adjustRightInd/>
        <w:snapToGrid/>
        <w:spacing w:before="0" w:after="0" w:line="600" w:lineRule="exact"/>
        <w:textAlignment w:val="auto"/>
        <w:rPr>
          <w:color w:val="auto"/>
        </w:rPr>
      </w:pPr>
    </w:p>
    <w:p>
      <w:pPr>
        <w:rPr>
          <w:color w:val="auto"/>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8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heme="minorEastAsia" w:hAnsiTheme="minorEastAsia"/>
                <w:b/>
                <w:color w:val="auto"/>
                <w:sz w:val="24"/>
                <w:szCs w:val="24"/>
              </w:rPr>
            </w:pPr>
            <w:r>
              <w:rPr>
                <w:rFonts w:hint="eastAsia" w:ascii="宋体" w:hAnsi="宋体" w:cs="宋体"/>
                <w:b/>
                <w:color w:val="auto"/>
                <w:sz w:val="24"/>
                <w:szCs w:val="24"/>
              </w:rPr>
              <w:t>专栏1 全民健身品牌计划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8380" w:type="dxa"/>
          </w:tcPr>
          <w:p>
            <w:pPr>
              <w:spacing w:line="560" w:lineRule="exact"/>
              <w:ind w:firstLine="480" w:firstLineChars="200"/>
              <w:jc w:val="left"/>
              <w:rPr>
                <w:rFonts w:ascii="宋体" w:hAnsi="宋体"/>
                <w:color w:val="auto"/>
                <w:sz w:val="24"/>
                <w:szCs w:val="24"/>
              </w:rPr>
            </w:pPr>
            <w:r>
              <w:rPr>
                <w:rFonts w:ascii="宋体" w:hAnsi="宋体"/>
                <w:color w:val="auto"/>
                <w:sz w:val="24"/>
                <w:szCs w:val="24"/>
              </w:rPr>
              <w:t>1.焦作篮球文化节品牌创响计划。</w:t>
            </w:r>
          </w:p>
          <w:p>
            <w:pPr>
              <w:spacing w:line="5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焦作山水户外挑战赛系列品牌赛事计划。</w:t>
            </w:r>
          </w:p>
          <w:p>
            <w:pPr>
              <w:spacing w:line="560" w:lineRule="exact"/>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焦作太极拳“六进”系列品牌赛事计划。</w:t>
            </w:r>
          </w:p>
          <w:p>
            <w:pPr>
              <w:spacing w:line="560" w:lineRule="exact"/>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焦作</w:t>
            </w:r>
            <w:r>
              <w:rPr>
                <w:rFonts w:hint="eastAsia" w:ascii="宋体" w:hAnsi="宋体"/>
                <w:color w:val="auto"/>
                <w:sz w:val="24"/>
                <w:szCs w:val="24"/>
                <w:lang w:eastAsia="zh-CN"/>
              </w:rPr>
              <w:t>“三山”同登</w:t>
            </w:r>
            <w:r>
              <w:rPr>
                <w:rFonts w:hint="eastAsia" w:ascii="宋体" w:hAnsi="宋体"/>
                <w:color w:val="auto"/>
                <w:sz w:val="24"/>
                <w:szCs w:val="24"/>
              </w:rPr>
              <w:t>（徒步、登山、山地越野）系列品牌赛事计划。</w:t>
            </w:r>
          </w:p>
          <w:p>
            <w:pPr>
              <w:spacing w:line="560" w:lineRule="exact"/>
              <w:ind w:firstLine="480" w:firstLineChars="200"/>
              <w:jc w:val="left"/>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lang w:eastAsia="zh-CN"/>
              </w:rPr>
              <w:t>郑焦</w:t>
            </w:r>
            <w:r>
              <w:rPr>
                <w:rFonts w:hint="eastAsia" w:ascii="宋体" w:hAnsi="宋体"/>
                <w:color w:val="auto"/>
                <w:sz w:val="24"/>
                <w:szCs w:val="24"/>
              </w:rPr>
              <w:t>黄</w:t>
            </w:r>
            <w:r>
              <w:rPr>
                <w:rFonts w:hint="eastAsia" w:ascii="宋体" w:hAnsi="宋体"/>
                <w:color w:val="auto"/>
                <w:sz w:val="24"/>
                <w:szCs w:val="24"/>
                <w:lang w:eastAsia="zh-CN"/>
              </w:rPr>
              <w:t>河自行车公开赛</w:t>
            </w:r>
            <w:r>
              <w:rPr>
                <w:rFonts w:hint="eastAsia" w:ascii="宋体" w:hAnsi="宋体"/>
                <w:color w:val="auto"/>
                <w:sz w:val="24"/>
                <w:szCs w:val="24"/>
              </w:rPr>
              <w:t>品牌打造计划。</w:t>
            </w:r>
          </w:p>
        </w:tc>
      </w:tr>
    </w:tbl>
    <w:p>
      <w:pPr>
        <w:pStyle w:val="4"/>
        <w:spacing w:before="0" w:after="0" w:line="560" w:lineRule="exact"/>
        <w:ind w:firstLine="642" w:firstLineChars="200"/>
        <w:rPr>
          <w:rFonts w:ascii="宋体" w:hAnsi="宋体" w:cs="宋体"/>
          <w:bCs w:val="0"/>
          <w:color w:val="auto"/>
        </w:rPr>
      </w:pPr>
      <w:bookmarkStart w:id="129" w:name="_Toc79870476"/>
      <w:bookmarkStart w:id="130" w:name="_Toc28802"/>
      <w:bookmarkStart w:id="131" w:name="_Toc19329"/>
      <w:bookmarkStart w:id="132" w:name="_Toc27481"/>
      <w:bookmarkStart w:id="133" w:name="_Toc6247"/>
      <w:bookmarkStart w:id="134" w:name="_Toc5661"/>
      <w:bookmarkStart w:id="135" w:name="_Toc13529"/>
      <w:bookmarkStart w:id="136" w:name="_Toc185"/>
      <w:bookmarkStart w:id="137" w:name="_Toc25586"/>
      <w:r>
        <w:rPr>
          <w:rFonts w:hint="eastAsia" w:ascii="楷体" w:hAnsi="楷体" w:eastAsia="楷体" w:cs="楷体"/>
          <w:bCs w:val="0"/>
          <w:color w:val="auto"/>
        </w:rPr>
        <w:t>（二）推进群众身边基础设施建设</w:t>
      </w:r>
      <w:bookmarkEnd w:id="129"/>
      <w:bookmarkEnd w:id="130"/>
      <w:bookmarkEnd w:id="131"/>
      <w:bookmarkEnd w:id="132"/>
      <w:bookmarkEnd w:id="133"/>
      <w:bookmarkEnd w:id="134"/>
      <w:bookmarkEnd w:id="135"/>
      <w:bookmarkEnd w:id="136"/>
    </w:p>
    <w:p>
      <w:pPr>
        <w:tabs>
          <w:tab w:val="left" w:pos="567"/>
        </w:tabs>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强力实施“健康焦作”体</w:t>
      </w:r>
      <w:bookmarkStart w:id="415" w:name="_GoBack"/>
      <w:bookmarkEnd w:id="415"/>
      <w:r>
        <w:rPr>
          <w:rFonts w:hint="eastAsia" w:ascii="仿宋" w:hAnsi="仿宋" w:eastAsia="仿宋" w:cstheme="minorBidi"/>
          <w:bCs/>
          <w:color w:val="auto"/>
          <w:sz w:val="32"/>
          <w:szCs w:val="32"/>
        </w:rPr>
        <w:t>育惠民工程，把体育设施建设融入城市发展大局，做好大型体育场馆免费低收费工作。完善街道、乡镇体育设施，重点建设便民利</w:t>
      </w:r>
      <w:r>
        <w:rPr>
          <w:rFonts w:hint="eastAsia" w:ascii="仿宋" w:hAnsi="仿宋" w:eastAsia="仿宋" w:cstheme="minorBidi"/>
          <w:bCs/>
          <w:color w:val="auto"/>
          <w:sz w:val="32"/>
          <w:szCs w:val="32"/>
        </w:rPr>
        <w:t>民的全民健身中心</w:t>
      </w:r>
      <w:r>
        <w:rPr>
          <w:rFonts w:hint="eastAsia" w:ascii="仿宋" w:hAnsi="仿宋" w:eastAsia="仿宋" w:cstheme="minorBidi"/>
          <w:bCs/>
          <w:color w:val="auto"/>
          <w:sz w:val="32"/>
          <w:szCs w:val="32"/>
          <w:lang w:eastAsia="zh-CN"/>
        </w:rPr>
        <w:t>（小型体育综合体）、</w:t>
      </w:r>
      <w:r>
        <w:rPr>
          <w:rFonts w:hint="eastAsia" w:ascii="仿宋" w:hAnsi="仿宋" w:eastAsia="仿宋" w:cstheme="minorBidi"/>
          <w:bCs/>
          <w:color w:val="auto"/>
          <w:sz w:val="32"/>
          <w:szCs w:val="32"/>
        </w:rPr>
        <w:t>户外全民健身活动广场（中心）、百姓健身房、多功能</w:t>
      </w:r>
      <w:r>
        <w:rPr>
          <w:rFonts w:hint="eastAsia" w:ascii="仿宋" w:hAnsi="仿宋" w:eastAsia="仿宋" w:cstheme="minorBidi"/>
          <w:bCs/>
          <w:color w:val="auto"/>
          <w:sz w:val="32"/>
          <w:szCs w:val="32"/>
          <w:lang w:eastAsia="zh-CN"/>
        </w:rPr>
        <w:t>运动</w:t>
      </w:r>
      <w:r>
        <w:rPr>
          <w:rFonts w:hint="eastAsia" w:ascii="仿宋" w:hAnsi="仿宋" w:eastAsia="仿宋" w:cstheme="minorBidi"/>
          <w:bCs/>
          <w:color w:val="auto"/>
          <w:sz w:val="32"/>
          <w:szCs w:val="32"/>
        </w:rPr>
        <w:t>场</w:t>
      </w:r>
      <w:r>
        <w:rPr>
          <w:rFonts w:hint="eastAsia" w:ascii="仿宋" w:hAnsi="仿宋" w:eastAsia="仿宋" w:cstheme="minorBidi"/>
          <w:bCs/>
          <w:color w:val="auto"/>
          <w:sz w:val="32"/>
          <w:szCs w:val="32"/>
        </w:rPr>
        <w:t>、足球场、健身步道等场地设施。将体育基础设施建设纳入生态文明示范村镇建设行动和农村人居环境综合整治行动，切实做好农村地区的体育场地设施建设。结合基层公共文化服务中心建设及区域特点，继续实施农民体育健身工程，实现行政村健身设施全覆盖。“十四五”末期，人均体育场地面积达到</w:t>
      </w:r>
      <w:r>
        <w:rPr>
          <w:rFonts w:ascii="仿宋" w:hAnsi="仿宋" w:eastAsia="仿宋" w:cstheme="minorBidi"/>
          <w:bCs/>
          <w:color w:val="auto"/>
          <w:sz w:val="32"/>
          <w:szCs w:val="32"/>
        </w:rPr>
        <w:t>2.6</w:t>
      </w:r>
      <w:r>
        <w:rPr>
          <w:rFonts w:hint="eastAsia" w:ascii="仿宋" w:hAnsi="仿宋" w:eastAsia="仿宋" w:cstheme="minorBidi"/>
          <w:bCs/>
          <w:color w:val="auto"/>
          <w:sz w:val="32"/>
          <w:szCs w:val="32"/>
        </w:rPr>
        <w:t>平方米。</w:t>
      </w:r>
    </w:p>
    <w:p>
      <w:pPr>
        <w:pStyle w:val="4"/>
        <w:spacing w:before="0" w:after="0" w:line="560" w:lineRule="exact"/>
        <w:ind w:firstLine="642" w:firstLineChars="200"/>
        <w:rPr>
          <w:rFonts w:ascii="楷体" w:hAnsi="楷体" w:eastAsia="楷体" w:cs="楷体"/>
          <w:bCs w:val="0"/>
          <w:color w:val="auto"/>
        </w:rPr>
      </w:pPr>
      <w:bookmarkStart w:id="138" w:name="_Toc24824"/>
      <w:bookmarkStart w:id="139" w:name="_Toc16140"/>
      <w:bookmarkStart w:id="140" w:name="_Toc30856"/>
      <w:bookmarkStart w:id="141" w:name="_Toc31910"/>
      <w:bookmarkStart w:id="142" w:name="_Toc79870477"/>
      <w:bookmarkStart w:id="143" w:name="_Toc13194"/>
      <w:bookmarkStart w:id="144" w:name="_Toc15695"/>
      <w:bookmarkStart w:id="145" w:name="_Toc25008"/>
      <w:r>
        <w:rPr>
          <w:rFonts w:hint="eastAsia" w:ascii="楷体" w:hAnsi="楷体" w:eastAsia="楷体" w:cs="楷体"/>
          <w:bCs w:val="0"/>
          <w:color w:val="auto"/>
        </w:rPr>
        <w:t>（三）加强群众身边科学健身指导</w:t>
      </w:r>
      <w:bookmarkEnd w:id="137"/>
      <w:bookmarkEnd w:id="138"/>
      <w:bookmarkEnd w:id="139"/>
      <w:bookmarkEnd w:id="140"/>
      <w:bookmarkEnd w:id="141"/>
      <w:bookmarkEnd w:id="142"/>
      <w:bookmarkEnd w:id="143"/>
      <w:bookmarkEnd w:id="144"/>
      <w:bookmarkEnd w:id="145"/>
    </w:p>
    <w:p>
      <w:pPr>
        <w:tabs>
          <w:tab w:val="left" w:pos="567"/>
        </w:tabs>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积极建立社会体育指导员培训基地，不断加强社会体育指导员、国民体质监测工作人员等基层体育骨干队伍建设，不断提高业务素质</w:t>
      </w:r>
      <w:r>
        <w:rPr>
          <w:rFonts w:hint="eastAsia" w:ascii="仿宋" w:hAnsi="仿宋" w:eastAsia="仿宋" w:cstheme="minorBidi"/>
          <w:bCs/>
          <w:color w:val="auto"/>
          <w:sz w:val="32"/>
          <w:szCs w:val="32"/>
          <w:lang w:eastAsia="zh-CN"/>
        </w:rPr>
        <w:t>水平</w:t>
      </w:r>
      <w:r>
        <w:rPr>
          <w:rFonts w:hint="eastAsia" w:ascii="仿宋" w:hAnsi="仿宋" w:eastAsia="仿宋" w:cstheme="minorBidi"/>
          <w:bCs/>
          <w:color w:val="auto"/>
          <w:sz w:val="32"/>
          <w:szCs w:val="32"/>
        </w:rPr>
        <w:t>。到2025年，</w:t>
      </w:r>
      <w:r>
        <w:rPr>
          <w:rFonts w:hint="eastAsia" w:ascii="仿宋" w:hAnsi="仿宋" w:eastAsia="仿宋" w:cstheme="minorBidi"/>
          <w:bCs/>
          <w:color w:val="auto"/>
          <w:sz w:val="32"/>
          <w:szCs w:val="32"/>
        </w:rPr>
        <w:t>达到</w:t>
      </w:r>
      <w:r>
        <w:rPr>
          <w:rFonts w:hint="eastAsia" w:ascii="仿宋" w:hAnsi="仿宋" w:eastAsia="仿宋" w:cs="仿宋"/>
          <w:color w:val="auto"/>
          <w:sz w:val="32"/>
          <w:szCs w:val="32"/>
        </w:rPr>
        <w:t>每千人拥有社会体育指导员</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以上</w:t>
      </w:r>
      <w:r>
        <w:rPr>
          <w:rFonts w:hint="eastAsia" w:ascii="仿宋" w:hAnsi="仿宋" w:eastAsia="仿宋" w:cstheme="minorBidi"/>
          <w:bCs/>
          <w:color w:val="auto"/>
          <w:sz w:val="32"/>
          <w:szCs w:val="32"/>
        </w:rPr>
        <w:t>。加强国民体质监测网络建设，创建省级“国民体质监测与健身指导中心”，完成国家、省年度各项国民体质监测任务，及时向社会公布国民体质监测和全民健身活动状况主要指标。</w:t>
      </w:r>
    </w:p>
    <w:p>
      <w:pPr>
        <w:pStyle w:val="4"/>
        <w:spacing w:before="0" w:after="0" w:line="560" w:lineRule="exact"/>
        <w:ind w:firstLine="642" w:firstLineChars="200"/>
        <w:rPr>
          <w:rFonts w:ascii="楷体" w:hAnsi="楷体" w:eastAsia="楷体" w:cs="楷体"/>
          <w:bCs w:val="0"/>
          <w:color w:val="auto"/>
        </w:rPr>
      </w:pPr>
      <w:bookmarkStart w:id="146" w:name="_Toc12899"/>
      <w:bookmarkStart w:id="147" w:name="_Toc79870478"/>
      <w:bookmarkStart w:id="148" w:name="_Toc19576"/>
      <w:bookmarkStart w:id="149" w:name="_Toc5245"/>
      <w:bookmarkStart w:id="150" w:name="_Toc7110"/>
      <w:bookmarkStart w:id="151" w:name="_Toc52115836"/>
      <w:bookmarkStart w:id="152" w:name="_Toc25658"/>
      <w:bookmarkStart w:id="153" w:name="_Toc31598"/>
      <w:bookmarkStart w:id="154" w:name="_Toc8954"/>
      <w:bookmarkStart w:id="155" w:name="_Toc25608"/>
      <w:r>
        <w:rPr>
          <w:rFonts w:hint="eastAsia" w:ascii="楷体" w:hAnsi="楷体" w:eastAsia="楷体" w:cs="楷体"/>
          <w:bCs w:val="0"/>
          <w:color w:val="auto"/>
        </w:rPr>
        <w:t>（四）完善群众身边体育社会组织</w:t>
      </w:r>
      <w:bookmarkEnd w:id="146"/>
      <w:bookmarkEnd w:id="147"/>
      <w:bookmarkEnd w:id="148"/>
      <w:bookmarkEnd w:id="149"/>
      <w:bookmarkEnd w:id="150"/>
    </w:p>
    <w:p>
      <w:pPr>
        <w:spacing w:line="560" w:lineRule="exact"/>
        <w:ind w:firstLine="640" w:firstLineChars="200"/>
        <w:rPr>
          <w:bCs/>
          <w:color w:val="auto"/>
        </w:rPr>
      </w:pPr>
      <w:r>
        <w:rPr>
          <w:rFonts w:hint="eastAsia" w:ascii="仿宋" w:hAnsi="仿宋" w:eastAsia="仿宋" w:cs="仿宋"/>
          <w:color w:val="auto"/>
          <w:sz w:val="32"/>
          <w:szCs w:val="32"/>
        </w:rPr>
        <w:t>继续支持成立体育社会组织，规范体育社会组织行为，推进体育社会组织实体化发展，调动社会各界参与全民健身的热情和活力。鼓励体育社会组织承办全民健身赛事、培训、体质监测、指导服务工作，到2025年，</w:t>
      </w:r>
      <w:r>
        <w:rPr>
          <w:rFonts w:hint="eastAsia" w:ascii="仿宋" w:hAnsi="仿宋" w:eastAsia="仿宋" w:cs="仿宋"/>
          <w:color w:val="auto"/>
          <w:sz w:val="32"/>
          <w:szCs w:val="32"/>
          <w:lang w:eastAsia="zh-CN"/>
        </w:rPr>
        <w:t>市、县、乡三级体育总会实现全覆盖，</w:t>
      </w:r>
      <w:r>
        <w:rPr>
          <w:rFonts w:hint="eastAsia" w:ascii="仿宋" w:hAnsi="仿宋" w:eastAsia="仿宋" w:cs="仿宋"/>
          <w:color w:val="auto"/>
          <w:sz w:val="32"/>
          <w:szCs w:val="32"/>
        </w:rPr>
        <w:t>每万人拥有社会组织</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，城乡全民健身站点达到每万人</w:t>
      </w:r>
      <w:r>
        <w:rPr>
          <w:rFonts w:hint="eastAsia" w:ascii="仿宋" w:hAnsi="仿宋" w:eastAsia="仿宋" w:cs="仿宋"/>
          <w:color w:val="auto"/>
          <w:sz w:val="32"/>
          <w:szCs w:val="32"/>
          <w:lang w:val="en-US" w:eastAsia="zh-CN"/>
        </w:rPr>
        <w:t>6个。</w:t>
      </w:r>
    </w:p>
    <w:p>
      <w:pPr>
        <w:pStyle w:val="4"/>
        <w:spacing w:before="0" w:after="0" w:line="560" w:lineRule="exact"/>
        <w:ind w:firstLine="642" w:firstLineChars="200"/>
        <w:rPr>
          <w:rFonts w:ascii="楷体" w:hAnsi="楷体" w:eastAsia="楷体" w:cs="楷体"/>
          <w:bCs w:val="0"/>
          <w:color w:val="auto"/>
        </w:rPr>
      </w:pPr>
      <w:bookmarkStart w:id="156" w:name="_Toc29593"/>
      <w:bookmarkStart w:id="157" w:name="_Toc79870479"/>
      <w:bookmarkStart w:id="158" w:name="_Toc8441"/>
      <w:bookmarkStart w:id="159" w:name="_Toc21567"/>
      <w:bookmarkStart w:id="160" w:name="_Toc27071"/>
      <w:r>
        <w:rPr>
          <w:rFonts w:hint="eastAsia" w:ascii="楷体" w:hAnsi="楷体" w:eastAsia="楷体" w:cs="楷体"/>
          <w:bCs w:val="0"/>
          <w:color w:val="auto"/>
        </w:rPr>
        <w:t>（五）关注特殊人群体育需求</w:t>
      </w:r>
      <w:bookmarkEnd w:id="151"/>
      <w:bookmarkEnd w:id="152"/>
      <w:bookmarkEnd w:id="153"/>
      <w:bookmarkEnd w:id="154"/>
      <w:bookmarkEnd w:id="155"/>
      <w:bookmarkEnd w:id="156"/>
      <w:bookmarkEnd w:id="157"/>
      <w:bookmarkEnd w:id="158"/>
      <w:bookmarkEnd w:id="159"/>
      <w:bookmarkEnd w:id="160"/>
    </w:p>
    <w:p>
      <w:pPr>
        <w:tabs>
          <w:tab w:val="left" w:pos="567"/>
        </w:tabs>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进一步加强残疾人康复健身工作，将残疾人康复健身纳入全民健身范围，完善残疾人健身设施，在市、县、乡镇群众赛事和活动中增设残疾人项目，鼓励残疾人参与体育比赛，提升残疾人获得感和幸福感。加强老年人体育研究，根据人群特点创新健身方法，编制老年人健身课程，提供针对性强的健身服务。在各类体育场馆设施中设立适合老年人运动的健身设施，发挥老年人体育协会作用，定期组织老年人开展体育活动。关注职工、农民等群体体育生活，充分发挥农村、职工等基层体育社会组织作用，定期举办农村、职工综合运动会，增强群众幸福感。</w:t>
      </w:r>
    </w:p>
    <w:p>
      <w:pPr>
        <w:pStyle w:val="3"/>
        <w:spacing w:before="0" w:after="0" w:line="560" w:lineRule="exact"/>
        <w:ind w:firstLine="642" w:firstLineChars="200"/>
        <w:rPr>
          <w:rFonts w:ascii="黑体" w:hAnsi="黑体" w:eastAsia="黑体" w:cs="黑体"/>
          <w:bCs w:val="0"/>
          <w:color w:val="auto"/>
        </w:rPr>
      </w:pPr>
      <w:bookmarkStart w:id="161" w:name="_Toc10559"/>
      <w:bookmarkStart w:id="162" w:name="_Toc79870480"/>
      <w:bookmarkStart w:id="163" w:name="_Toc25989"/>
      <w:bookmarkStart w:id="164" w:name="_Toc21929"/>
      <w:bookmarkStart w:id="165" w:name="_Toc4778"/>
      <w:bookmarkStart w:id="166" w:name="_Toc8460"/>
      <w:bookmarkStart w:id="167" w:name="_Toc30702"/>
      <w:bookmarkStart w:id="168" w:name="_Toc9766"/>
      <w:bookmarkStart w:id="169" w:name="_Toc6472"/>
      <w:r>
        <w:rPr>
          <w:rFonts w:hint="eastAsia" w:ascii="黑体" w:hAnsi="黑体" w:eastAsia="黑体" w:cs="黑体"/>
          <w:bCs w:val="0"/>
          <w:color w:val="auto"/>
        </w:rPr>
        <w:t>二、竞技体育科学化发展</w:t>
      </w:r>
      <w:bookmarkEnd w:id="161"/>
      <w:bookmarkEnd w:id="162"/>
      <w:bookmarkEnd w:id="163"/>
      <w:bookmarkEnd w:id="164"/>
      <w:bookmarkEnd w:id="165"/>
      <w:bookmarkEnd w:id="166"/>
      <w:bookmarkEnd w:id="167"/>
      <w:bookmarkEnd w:id="168"/>
      <w:bookmarkEnd w:id="169"/>
    </w:p>
    <w:p>
      <w:pPr>
        <w:pStyle w:val="4"/>
        <w:spacing w:before="0" w:after="0" w:line="560" w:lineRule="exact"/>
        <w:ind w:firstLine="642" w:firstLineChars="200"/>
        <w:rPr>
          <w:rFonts w:ascii="楷体" w:hAnsi="楷体" w:eastAsia="楷体" w:cs="楷体"/>
          <w:bCs w:val="0"/>
          <w:color w:val="auto"/>
        </w:rPr>
      </w:pPr>
      <w:bookmarkStart w:id="170" w:name="_Toc23189"/>
      <w:bookmarkStart w:id="171" w:name="_Toc30678"/>
      <w:bookmarkStart w:id="172" w:name="_Toc24978"/>
      <w:bookmarkStart w:id="173" w:name="_Toc20951"/>
      <w:bookmarkStart w:id="174" w:name="_Toc8832"/>
      <w:bookmarkStart w:id="175" w:name="_Toc24241"/>
      <w:bookmarkStart w:id="176" w:name="_Toc79870481"/>
      <w:bookmarkStart w:id="177" w:name="_Toc24975"/>
      <w:bookmarkStart w:id="178" w:name="_Toc4284"/>
      <w:r>
        <w:rPr>
          <w:rFonts w:hint="eastAsia" w:ascii="楷体" w:hAnsi="楷体" w:eastAsia="楷体" w:cs="楷体"/>
          <w:bCs w:val="0"/>
          <w:color w:val="auto"/>
        </w:rPr>
        <w:t>（六）优化竞技体育项目布局</w:t>
      </w:r>
      <w:bookmarkEnd w:id="170"/>
      <w:bookmarkEnd w:id="171"/>
      <w:bookmarkEnd w:id="172"/>
      <w:bookmarkEnd w:id="173"/>
      <w:bookmarkEnd w:id="174"/>
      <w:bookmarkEnd w:id="175"/>
      <w:bookmarkEnd w:id="176"/>
      <w:bookmarkEnd w:id="177"/>
    </w:p>
    <w:p>
      <w:pPr>
        <w:spacing w:line="560" w:lineRule="exact"/>
        <w:ind w:firstLine="640" w:firstLineChars="200"/>
        <w:rPr>
          <w:rFonts w:hint="eastAsia" w:ascii="仿宋" w:hAnsi="仿宋" w:eastAsia="仿宋" w:cstheme="minorBidi"/>
          <w:bCs/>
          <w:color w:val="auto"/>
          <w:sz w:val="32"/>
          <w:szCs w:val="32"/>
          <w:u w:val="none"/>
          <w:lang w:eastAsia="zh-CN"/>
        </w:rPr>
      </w:pPr>
      <w:r>
        <w:rPr>
          <w:rFonts w:hint="eastAsia" w:ascii="仿宋" w:hAnsi="仿宋" w:eastAsia="仿宋" w:cstheme="minorBidi"/>
          <w:bCs/>
          <w:color w:val="auto"/>
          <w:sz w:val="32"/>
          <w:szCs w:val="32"/>
        </w:rPr>
        <w:t>科学合理布局竞技体育项目。坚持“固强补短”，继续保持优势项目全省领先地位。加强</w:t>
      </w:r>
      <w:r>
        <w:rPr>
          <w:rFonts w:hint="eastAsia" w:ascii="仿宋" w:hAnsi="仿宋" w:eastAsia="仿宋"/>
          <w:color w:val="auto"/>
          <w:sz w:val="32"/>
        </w:rPr>
        <w:t>篮球、田径、游泳、赛艇、武术、射箭、网球</w:t>
      </w:r>
      <w:r>
        <w:rPr>
          <w:rFonts w:hint="eastAsia" w:ascii="仿宋" w:hAnsi="仿宋" w:eastAsia="仿宋" w:cstheme="minorBidi"/>
          <w:bCs/>
          <w:color w:val="auto"/>
          <w:sz w:val="32"/>
          <w:szCs w:val="32"/>
        </w:rPr>
        <w:t>等优势项目，着力培养一批领军人才，全面提升竞技体育总体实力。</w:t>
      </w:r>
      <w:r>
        <w:rPr>
          <w:rFonts w:hint="eastAsia" w:ascii="仿宋" w:hAnsi="仿宋" w:eastAsia="仿宋"/>
          <w:color w:val="auto"/>
          <w:sz w:val="32"/>
        </w:rPr>
        <w:t>挖掘射击、乒乓球、足球、自行车、重竞技等项目潜力，扶持皮划艇、幼儿体操、排球、羽毛球、轮滑、冰雪等项目创新发展，力争实现突破。以奥运、全运、省运为目标，鼓励跨界、跨项输送优秀体育后备人才，突出做好选、练、送、跟等训练保障服务，力争到“十四五”末期培育</w:t>
      </w:r>
      <w:r>
        <w:rPr>
          <w:rFonts w:ascii="仿宋" w:hAnsi="仿宋" w:eastAsia="仿宋"/>
          <w:color w:val="auto"/>
          <w:sz w:val="32"/>
        </w:rPr>
        <w:t>5-10</w:t>
      </w:r>
      <w:r>
        <w:rPr>
          <w:rFonts w:hint="eastAsia" w:ascii="仿宋" w:hAnsi="仿宋" w:eastAsia="仿宋"/>
          <w:color w:val="auto"/>
          <w:sz w:val="32"/>
        </w:rPr>
        <w:t>个优势项目，畅通优秀运动员输送渠道，全面提高我市体育后备人才输送数量和质量。</w:t>
      </w:r>
      <w:r>
        <w:rPr>
          <w:rFonts w:hint="eastAsia" w:ascii="仿宋" w:hAnsi="仿宋" w:eastAsia="仿宋"/>
          <w:color w:val="auto"/>
          <w:sz w:val="32"/>
          <w:szCs w:val="32"/>
          <w:u w:val="none"/>
        </w:rPr>
        <w:t>做好</w:t>
      </w:r>
      <w:r>
        <w:rPr>
          <w:rFonts w:hint="eastAsia" w:ascii="仿宋" w:hAnsi="仿宋" w:eastAsia="仿宋" w:cstheme="minorBidi"/>
          <w:bCs/>
          <w:color w:val="auto"/>
          <w:sz w:val="32"/>
          <w:szCs w:val="32"/>
          <w:u w:val="none"/>
        </w:rPr>
        <w:t>“名师培训工程”，提高学校教练员的水平</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“冠军培养工程”，有计划地培养优秀运动员更好成长。</w:t>
      </w:r>
    </w:p>
    <w:p>
      <w:pPr>
        <w:pStyle w:val="4"/>
        <w:spacing w:before="0" w:after="0" w:line="560" w:lineRule="exact"/>
        <w:ind w:firstLine="642" w:firstLineChars="200"/>
        <w:rPr>
          <w:rFonts w:ascii="楷体" w:hAnsi="楷体" w:eastAsia="楷体" w:cs="楷体"/>
          <w:bCs w:val="0"/>
          <w:color w:val="auto"/>
        </w:rPr>
      </w:pPr>
      <w:bookmarkStart w:id="179" w:name="_Toc79870482"/>
      <w:bookmarkStart w:id="180" w:name="_Toc26061"/>
      <w:bookmarkStart w:id="181" w:name="_Toc15946"/>
      <w:bookmarkStart w:id="182" w:name="_Toc4660"/>
      <w:bookmarkStart w:id="183" w:name="_Toc1252"/>
      <w:bookmarkStart w:id="184" w:name="_Toc30567"/>
      <w:bookmarkStart w:id="185" w:name="_Toc29516"/>
      <w:bookmarkStart w:id="186" w:name="_Toc24698"/>
      <w:r>
        <w:rPr>
          <w:rFonts w:hint="eastAsia" w:ascii="楷体" w:hAnsi="楷体" w:eastAsia="楷体" w:cs="楷体"/>
          <w:bCs w:val="0"/>
          <w:color w:val="auto"/>
        </w:rPr>
        <w:t>（七）完善竞技体育基地建设</w:t>
      </w:r>
      <w:bookmarkEnd w:id="178"/>
      <w:bookmarkEnd w:id="179"/>
      <w:bookmarkEnd w:id="180"/>
      <w:bookmarkEnd w:id="181"/>
      <w:bookmarkEnd w:id="182"/>
      <w:bookmarkEnd w:id="183"/>
      <w:bookmarkEnd w:id="184"/>
      <w:bookmarkEnd w:id="185"/>
      <w:bookmarkEnd w:id="186"/>
    </w:p>
    <w:p>
      <w:pPr>
        <w:tabs>
          <w:tab w:val="left" w:pos="567"/>
        </w:tabs>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完成市业余篮球学校改建工程，打造国内一流的青少年篮球学校。完成市业余水上运动学校建设工程，建成训练、竞赛、产业一体化发展的体育示范基地。继续提升体校软件建设，加大科研投入，提升整体实力。对照《国家高水平体育后备人才基地创建实施细则》，坚持“以创促建”，进一步加强局属训练单位管理，实现局属训练单位训练、科研、竞赛、产业等综合发展，进一步打开局面，继续保持全省领先态势。</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Pr>
          <w:p>
            <w:pPr>
              <w:spacing w:line="560" w:lineRule="exact"/>
              <w:ind w:firstLine="481" w:firstLineChars="200"/>
              <w:jc w:val="center"/>
              <w:rPr>
                <w:rFonts w:asciiTheme="minorEastAsia" w:hAnsiTheme="minorEastAsia"/>
                <w:b/>
                <w:color w:val="auto"/>
                <w:sz w:val="24"/>
                <w:szCs w:val="24"/>
              </w:rPr>
            </w:pPr>
            <w:r>
              <w:rPr>
                <w:rFonts w:hint="eastAsia" w:ascii="宋体" w:hAnsi="宋体" w:cs="宋体"/>
                <w:b/>
                <w:color w:val="auto"/>
                <w:sz w:val="24"/>
                <w:szCs w:val="24"/>
              </w:rPr>
              <w:t>专栏2  基地改建工程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仿宋_GB2312"/>
                <w:color w:val="auto"/>
                <w:kern w:val="0"/>
                <w:sz w:val="24"/>
                <w:szCs w:val="24"/>
              </w:rPr>
            </w:pPr>
            <w:r>
              <w:rPr>
                <w:rFonts w:hint="eastAsia" w:ascii="宋体" w:hAnsi="宋体" w:cs="仿宋_GB2312"/>
                <w:color w:val="auto"/>
                <w:kern w:val="0"/>
                <w:sz w:val="24"/>
                <w:szCs w:val="24"/>
              </w:rPr>
              <w:t>1.2023年底完成业余篮球学校改建工程，保障篮球后备人才培养资金，鼓励社会企业参与篮球学校建设。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仿宋_GB2312"/>
                <w:color w:val="auto"/>
                <w:kern w:val="0"/>
                <w:sz w:val="24"/>
                <w:szCs w:val="24"/>
              </w:rPr>
            </w:pPr>
            <w:r>
              <w:rPr>
                <w:rFonts w:hint="eastAsia" w:ascii="宋体" w:hAnsi="宋体" w:cs="仿宋_GB2312"/>
                <w:color w:val="auto"/>
                <w:kern w:val="0"/>
                <w:sz w:val="24"/>
                <w:szCs w:val="24"/>
              </w:rPr>
              <w:t>2.2023年底启动业余水上运动学校建设工程，到“十四五”末期完成业余水上运动学校建设。</w:t>
            </w:r>
          </w:p>
        </w:tc>
      </w:tr>
    </w:tbl>
    <w:p>
      <w:pPr>
        <w:pStyle w:val="4"/>
        <w:spacing w:before="0" w:after="0" w:line="560" w:lineRule="exact"/>
        <w:ind w:firstLine="642" w:firstLineChars="200"/>
        <w:rPr>
          <w:rFonts w:ascii="楷体" w:hAnsi="楷体" w:eastAsia="楷体" w:cs="楷体"/>
          <w:bCs w:val="0"/>
          <w:color w:val="auto"/>
        </w:rPr>
      </w:pPr>
      <w:bookmarkStart w:id="187" w:name="_Toc18996"/>
      <w:bookmarkStart w:id="188" w:name="_Toc8895"/>
      <w:bookmarkStart w:id="189" w:name="_Toc21731"/>
      <w:bookmarkStart w:id="190" w:name="_Toc21971"/>
      <w:bookmarkStart w:id="191" w:name="_Toc6021"/>
      <w:bookmarkStart w:id="192" w:name="_Toc14547"/>
      <w:bookmarkStart w:id="193" w:name="_Toc17035"/>
      <w:bookmarkStart w:id="194" w:name="_Toc79870483"/>
      <w:bookmarkStart w:id="195" w:name="_Toc15663"/>
      <w:r>
        <w:rPr>
          <w:rFonts w:hint="eastAsia" w:ascii="楷体" w:hAnsi="楷体" w:eastAsia="楷体" w:cs="楷体"/>
          <w:bCs w:val="0"/>
          <w:color w:val="auto"/>
        </w:rPr>
        <w:t>（八）加强竞技体育人才队伍建设</w:t>
      </w:r>
      <w:bookmarkEnd w:id="187"/>
      <w:bookmarkEnd w:id="188"/>
      <w:bookmarkEnd w:id="189"/>
      <w:bookmarkEnd w:id="190"/>
      <w:bookmarkEnd w:id="191"/>
      <w:bookmarkEnd w:id="192"/>
      <w:bookmarkEnd w:id="193"/>
      <w:bookmarkEnd w:id="194"/>
      <w:bookmarkEnd w:id="195"/>
    </w:p>
    <w:p>
      <w:pPr>
        <w:tabs>
          <w:tab w:val="left" w:pos="567"/>
        </w:tabs>
        <w:spacing w:line="560" w:lineRule="exact"/>
        <w:ind w:firstLine="640" w:firstLineChars="200"/>
        <w:rPr>
          <w:rFonts w:hint="eastAsia" w:ascii="仿宋" w:hAnsi="仿宋" w:eastAsia="仿宋" w:cstheme="minorBidi"/>
          <w:bCs/>
          <w:color w:val="auto"/>
          <w:sz w:val="32"/>
          <w:szCs w:val="32"/>
          <w:lang w:eastAsia="zh-CN"/>
        </w:rPr>
      </w:pPr>
      <w:r>
        <w:rPr>
          <w:rFonts w:hint="eastAsia" w:ascii="仿宋" w:hAnsi="仿宋" w:eastAsia="仿宋"/>
          <w:color w:val="auto"/>
          <w:sz w:val="32"/>
          <w:szCs w:val="22"/>
        </w:rPr>
        <w:t>牢固树立人才兴体观念，切实加强各类体育人才队伍建设。</w:t>
      </w:r>
      <w:r>
        <w:rPr>
          <w:rFonts w:hint="eastAsia" w:ascii="仿宋" w:hAnsi="仿宋" w:eastAsia="仿宋" w:cstheme="minorBidi"/>
          <w:bCs/>
          <w:color w:val="auto"/>
          <w:sz w:val="32"/>
          <w:szCs w:val="32"/>
        </w:rPr>
        <w:t>以高层次体育人才和紧缺人才为重点，抓住优秀教练员和运动员培养、吸引和使用三大环节，提高体育人才培养质量和数量，满足竞技体育人才需求。通过走出去和请进来，大力引进和聘用高水平教练员、高级管理人员、优秀教师和各类专业技术人才。加强培养领军式教练员队伍，教练员配备比例按照项目布局达到</w:t>
      </w:r>
      <w:r>
        <w:rPr>
          <w:rFonts w:hint="eastAsia" w:ascii="仿宋" w:hAnsi="仿宋" w:eastAsia="仿宋" w:cstheme="minorBidi"/>
          <w:bCs/>
          <w:color w:val="auto"/>
          <w:sz w:val="32"/>
          <w:szCs w:val="32"/>
          <w:shd w:val="clear" w:color="FFFFFF" w:fill="FFFFFF" w:themeFill="background1"/>
        </w:rPr>
        <w:t>1:15</w:t>
      </w:r>
      <w:r>
        <w:rPr>
          <w:rFonts w:hint="eastAsia" w:ascii="仿宋" w:hAnsi="仿宋" w:eastAsia="仿宋" w:cstheme="minorBidi"/>
          <w:bCs/>
          <w:color w:val="auto"/>
          <w:sz w:val="32"/>
          <w:szCs w:val="32"/>
        </w:rPr>
        <w:t>，建立体能、科研团队保障优势项目训练工作开展；健全文化课教师配备，保障运动员文化课学习质量；每年定期组织教练员、文化课教师参加培训学习，促进执教水平不断提高。积极选拔优秀中青年教练员，通过学习、培训和到高水平运动队挂职锻炼等形式，培养我市各项目领军式、复合型教练员队伍。努力打造政治坚定、作风过硬、业务精湛的教练员队伍，培养5-10名领军式教练员。</w:t>
      </w:r>
      <w:r>
        <w:rPr>
          <w:rFonts w:hint="eastAsia" w:ascii="仿宋" w:hAnsi="仿宋" w:eastAsia="仿宋" w:cstheme="minorBidi"/>
          <w:bCs/>
          <w:color w:val="auto"/>
          <w:sz w:val="32"/>
          <w:szCs w:val="32"/>
        </w:rPr>
        <w:t>确保在校学生普遍达到《国家学生体质健康标准》基本要求</w:t>
      </w:r>
      <w:r>
        <w:rPr>
          <w:rFonts w:hint="eastAsia" w:ascii="仿宋" w:hAnsi="仿宋" w:eastAsia="仿宋" w:cstheme="minorBidi"/>
          <w:bCs/>
          <w:color w:val="auto"/>
          <w:sz w:val="32"/>
          <w:szCs w:val="32"/>
          <w:lang w:eastAsia="zh-CN"/>
        </w:rPr>
        <w:t>。</w:t>
      </w:r>
    </w:p>
    <w:p>
      <w:pPr>
        <w:pStyle w:val="4"/>
        <w:spacing w:before="0" w:after="0" w:line="560" w:lineRule="exact"/>
        <w:ind w:firstLine="642" w:firstLineChars="200"/>
        <w:rPr>
          <w:rFonts w:ascii="楷体" w:hAnsi="楷体" w:eastAsia="楷体" w:cs="楷体"/>
          <w:bCs w:val="0"/>
          <w:color w:val="auto"/>
        </w:rPr>
      </w:pPr>
      <w:bookmarkStart w:id="196" w:name="_Toc13089"/>
      <w:bookmarkStart w:id="197" w:name="_Toc20969"/>
      <w:bookmarkStart w:id="198" w:name="_Toc14374"/>
      <w:bookmarkStart w:id="199" w:name="_Toc79870484"/>
      <w:bookmarkStart w:id="200" w:name="_Toc10343"/>
      <w:bookmarkStart w:id="201" w:name="_Toc20897"/>
      <w:bookmarkStart w:id="202" w:name="_Toc20808"/>
      <w:bookmarkStart w:id="203" w:name="_Toc6190"/>
      <w:bookmarkStart w:id="204" w:name="_Toc18971"/>
      <w:r>
        <w:rPr>
          <w:rFonts w:hint="eastAsia" w:ascii="楷体" w:hAnsi="楷体" w:eastAsia="楷体" w:cs="楷体"/>
          <w:bCs w:val="0"/>
          <w:color w:val="auto"/>
        </w:rPr>
        <w:t>（九）推进青少年体教融合发展</w:t>
      </w:r>
      <w:bookmarkEnd w:id="196"/>
      <w:bookmarkEnd w:id="197"/>
      <w:bookmarkEnd w:id="198"/>
      <w:bookmarkEnd w:id="199"/>
      <w:bookmarkEnd w:id="200"/>
      <w:bookmarkEnd w:id="201"/>
      <w:bookmarkEnd w:id="202"/>
      <w:bookmarkEnd w:id="203"/>
      <w:bookmarkEnd w:id="204"/>
    </w:p>
    <w:p>
      <w:pPr>
        <w:pStyle w:val="17"/>
        <w:widowControl/>
        <w:shd w:val="clear" w:color="auto" w:fill="FFFFFF"/>
        <w:spacing w:beforeAutospacing="0" w:afterAutospacing="0" w:line="560" w:lineRule="exact"/>
        <w:ind w:firstLine="642" w:firstLineChars="200"/>
        <w:jc w:val="both"/>
        <w:rPr>
          <w:rFonts w:ascii="仿宋" w:hAnsi="仿宋" w:eastAsia="仿宋" w:cstheme="minorBidi"/>
          <w:bCs/>
          <w:color w:val="auto"/>
          <w:kern w:val="2"/>
          <w:sz w:val="32"/>
          <w:szCs w:val="32"/>
        </w:rPr>
      </w:pPr>
      <w:r>
        <w:rPr>
          <w:rFonts w:hint="eastAsia" w:ascii="仿宋" w:hAnsi="仿宋" w:eastAsia="仿宋" w:cs="仿宋_GB2312"/>
          <w:b/>
          <w:bCs/>
          <w:color w:val="auto"/>
          <w:sz w:val="32"/>
          <w:szCs w:val="32"/>
        </w:rPr>
        <w:t>完善体教融合顶层设计。</w:t>
      </w:r>
      <w:r>
        <w:rPr>
          <w:rFonts w:hint="eastAsia" w:ascii="仿宋" w:hAnsi="仿宋" w:eastAsia="仿宋" w:cstheme="minorBidi"/>
          <w:bCs/>
          <w:color w:val="auto"/>
          <w:kern w:val="2"/>
          <w:sz w:val="32"/>
          <w:szCs w:val="32"/>
        </w:rPr>
        <w:t>建立体育、教育、财政、人社、公安、民政、外事、工商、税务等多部门组成的青少年体育工作联席会议制度，着力协调解决制约青少年体育发展的瓶颈问题。积极将体育后备人才培养经费纳入同级财政预算，解决青少年体育资金保障不足问题。制定有关青少年体育奖励政策，确保青少年赛事活动安全。引导社会力量参与青少年体育，支持青少年俱乐部发展壮大和参与国际体育交流活动，逐步形成体教融合、齐抓共管、多方参与、开放发展的新时代青少年体育工作新局面。</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 w:hAnsi="仿宋" w:eastAsia="仿宋"/>
          <w:color w:val="auto"/>
          <w:sz w:val="32"/>
          <w:szCs w:val="32"/>
        </w:rPr>
      </w:pPr>
      <w:r>
        <w:rPr>
          <w:rFonts w:hint="eastAsia" w:ascii="仿宋" w:hAnsi="仿宋" w:eastAsia="仿宋" w:cs="仿宋_GB2312"/>
          <w:b/>
          <w:bCs/>
          <w:color w:val="auto"/>
          <w:sz w:val="32"/>
          <w:szCs w:val="32"/>
        </w:rPr>
        <w:t>建立</w:t>
      </w:r>
      <w:r>
        <w:rPr>
          <w:rFonts w:ascii="仿宋" w:hAnsi="仿宋" w:eastAsia="仿宋" w:cs="仿宋_GB2312"/>
          <w:b/>
          <w:bCs/>
          <w:color w:val="auto"/>
          <w:sz w:val="32"/>
          <w:szCs w:val="32"/>
        </w:rPr>
        <w:t>体育传统特色学校</w:t>
      </w:r>
      <w:r>
        <w:rPr>
          <w:rFonts w:hint="eastAsia" w:ascii="仿宋" w:hAnsi="仿宋" w:eastAsia="仿宋" w:cs="仿宋_GB2312"/>
          <w:b/>
          <w:bCs/>
          <w:color w:val="auto"/>
          <w:sz w:val="32"/>
          <w:szCs w:val="32"/>
        </w:rPr>
        <w:t>。</w:t>
      </w:r>
      <w:r>
        <w:rPr>
          <w:rFonts w:hint="eastAsia" w:ascii="仿宋" w:hAnsi="仿宋" w:eastAsia="仿宋" w:cstheme="minorBidi"/>
          <w:bCs/>
          <w:color w:val="auto"/>
          <w:sz w:val="32"/>
          <w:szCs w:val="32"/>
        </w:rPr>
        <w:t>按照“一校一品”“一校多品”学校体育模式，引导以太极拳为代表的传统体育项目进学校，建立太极拳特色学校。</w:t>
      </w:r>
      <w:r>
        <w:rPr>
          <w:rFonts w:hint="eastAsia" w:ascii="仿宋" w:hAnsi="仿宋" w:eastAsia="仿宋"/>
          <w:color w:val="auto"/>
          <w:sz w:val="32"/>
          <w:szCs w:val="32"/>
        </w:rPr>
        <w:t>发挥省级传校示范引领作用，带动市级传校和县级传校均衡发展格局，突出丰富多彩的体育活动，全面激活学校青少年体育工作，</w:t>
      </w:r>
      <w:r>
        <w:rPr>
          <w:rFonts w:hint="eastAsia" w:ascii="仿宋" w:hAnsi="仿宋" w:eastAsia="仿宋" w:cstheme="minorBidi"/>
          <w:bCs/>
          <w:color w:val="auto"/>
          <w:sz w:val="32"/>
          <w:szCs w:val="32"/>
        </w:rPr>
        <w:t>到“十四五”末期</w:t>
      </w:r>
      <w:r>
        <w:rPr>
          <w:rFonts w:hint="eastAsia" w:ascii="仿宋" w:hAnsi="仿宋" w:eastAsia="仿宋"/>
          <w:color w:val="auto"/>
          <w:sz w:val="32"/>
          <w:szCs w:val="32"/>
        </w:rPr>
        <w:t>建成130所三级体育传统特色学校。建成80—100个青少年体育组织，与学校体育工作形成资源共享、优势互补、协同发展，最终达到在校青少年掌握一至两项体育运动技能。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 w:hAnsi="仿宋" w:eastAsia="仿宋"/>
          <w:color w:val="auto"/>
          <w:sz w:val="32"/>
          <w:szCs w:val="32"/>
        </w:rPr>
      </w:pPr>
      <w:r>
        <w:rPr>
          <w:rFonts w:hint="eastAsia" w:ascii="仿宋" w:hAnsi="仿宋" w:eastAsia="仿宋"/>
          <w:b/>
          <w:bCs/>
          <w:color w:val="auto"/>
          <w:sz w:val="32"/>
          <w:szCs w:val="32"/>
        </w:rPr>
        <w:t>加强青少年俱乐部建设。</w:t>
      </w:r>
      <w:r>
        <w:rPr>
          <w:rFonts w:hint="eastAsia" w:ascii="仿宋" w:hAnsi="仿宋" w:eastAsia="仿宋"/>
          <w:color w:val="auto"/>
          <w:sz w:val="32"/>
          <w:szCs w:val="32"/>
        </w:rPr>
        <w:t>大力发展青少年体育俱乐部，开展多层次多形式的业余训练。出台加强青少年体育俱乐部建设和管理指导意见，规范依托体校和学校的青少年体育俱乐部管理，发挥此类俱乐部在体校和学校发展中的辅助作用，实现资源共享、成果共享，依法合规；大力发展大中小学青少年体育俱乐部，完善青少年业余训练网络；鼓励成立社区青少年体育俱乐部和培训机构，努力拓展青少年业余训练的广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 w:hAnsi="仿宋" w:eastAsia="仿宋" w:cstheme="minorBidi"/>
          <w:bCs/>
          <w:color w:val="auto"/>
          <w:sz w:val="32"/>
          <w:szCs w:val="32"/>
        </w:rPr>
      </w:pPr>
      <w:r>
        <w:rPr>
          <w:rFonts w:hint="eastAsia" w:ascii="仿宋" w:hAnsi="仿宋" w:eastAsia="仿宋"/>
          <w:b/>
          <w:bCs/>
          <w:color w:val="auto"/>
          <w:sz w:val="32"/>
          <w:szCs w:val="32"/>
        </w:rPr>
        <w:t>完善青少年体育赛事体系。</w:t>
      </w:r>
      <w:r>
        <w:rPr>
          <w:rFonts w:hint="eastAsia" w:ascii="仿宋" w:hAnsi="仿宋" w:eastAsia="仿宋"/>
          <w:color w:val="auto"/>
          <w:sz w:val="32"/>
          <w:szCs w:val="32"/>
        </w:rPr>
        <w:t>建立市、县（市、区）、乡镇中小学体育赛事体系，每年开展中小学综合运动会。采取乡镇基层中小学选拔赛、县级中小学淘汰赛、市级中小学总决赛形式，层层发现、选拔、培养青少年运动员，助力青少年运动员成长。同时在全市范围内举办形式多样的</w:t>
      </w:r>
      <w:r>
        <w:rPr>
          <w:rFonts w:hint="eastAsia" w:ascii="仿宋" w:hAnsi="仿宋" w:eastAsia="仿宋" w:cs="仿宋"/>
          <w:color w:val="auto"/>
          <w:sz w:val="32"/>
          <w:szCs w:val="32"/>
        </w:rPr>
        <w:t>单项赛事，积极组队参加市级比赛，让优秀青少年运动员有更多实践锻炼机会。</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heme="minorEastAsia" w:hAnsiTheme="minorEastAsia"/>
                <w:b/>
                <w:color w:val="auto"/>
                <w:sz w:val="24"/>
                <w:szCs w:val="24"/>
              </w:rPr>
            </w:pPr>
            <w:r>
              <w:rPr>
                <w:rFonts w:hint="eastAsia" w:ascii="宋体" w:hAnsi="宋体" w:cs="宋体"/>
                <w:b/>
                <w:color w:val="auto"/>
                <w:sz w:val="24"/>
                <w:szCs w:val="24"/>
              </w:rPr>
              <w:t>专栏3 体教品牌创响计划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仿宋_GB2312"/>
                <w:color w:val="auto"/>
                <w:kern w:val="0"/>
                <w:sz w:val="24"/>
                <w:szCs w:val="24"/>
              </w:rPr>
            </w:pPr>
            <w:r>
              <w:rPr>
                <w:rFonts w:hint="eastAsia" w:ascii="宋体" w:hAnsi="宋体" w:cs="仿宋_GB2312"/>
                <w:color w:val="auto"/>
                <w:kern w:val="0"/>
                <w:sz w:val="24"/>
                <w:szCs w:val="24"/>
              </w:rPr>
              <w:t>1.深入贯彻落实《关于深化体教融合 促进青少年健康发展的实施意见》，完善焦作市体教融合发展顶层设计，出台《焦作市关于教练员、运动员参加国际、国内大型赛事奖励实施办法》，促进后备人才成长。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仿宋_GB2312"/>
                <w:color w:val="auto"/>
                <w:kern w:val="0"/>
                <w:sz w:val="24"/>
                <w:szCs w:val="24"/>
              </w:rPr>
            </w:pPr>
            <w:r>
              <w:rPr>
                <w:rFonts w:hint="eastAsia" w:ascii="宋体" w:hAnsi="宋体" w:cs="仿宋_GB2312"/>
                <w:color w:val="auto"/>
                <w:kern w:val="0"/>
                <w:sz w:val="24"/>
                <w:szCs w:val="24"/>
              </w:rPr>
              <w:t xml:space="preserve">2.创建体育传统特色学校，鼓励建立业余训练队，达到既增强青少年体质又增强后备人才培养厚度的目的。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仿宋_GB2312"/>
                <w:color w:val="auto"/>
                <w:kern w:val="0"/>
                <w:sz w:val="24"/>
                <w:szCs w:val="24"/>
              </w:rPr>
            </w:pPr>
            <w:r>
              <w:rPr>
                <w:rFonts w:hint="eastAsia" w:ascii="宋体" w:hAnsi="宋体" w:cs="仿宋_GB2312"/>
                <w:color w:val="auto"/>
                <w:kern w:val="0"/>
                <w:sz w:val="24"/>
                <w:szCs w:val="24"/>
              </w:rPr>
              <w:t>3.创建青少年体育赛事体系，鼓励社会力量参与赛事运营。</w:t>
            </w:r>
          </w:p>
        </w:tc>
      </w:tr>
    </w:tbl>
    <w:p>
      <w:pPr>
        <w:pStyle w:val="4"/>
        <w:spacing w:before="0" w:after="0" w:line="560" w:lineRule="exact"/>
        <w:ind w:firstLine="642" w:firstLineChars="200"/>
        <w:rPr>
          <w:color w:val="auto"/>
        </w:rPr>
      </w:pPr>
      <w:bookmarkStart w:id="205" w:name="_Toc6837"/>
      <w:bookmarkStart w:id="206" w:name="_Toc3011"/>
      <w:bookmarkStart w:id="207" w:name="_Toc2985"/>
      <w:bookmarkStart w:id="208" w:name="_Toc6960"/>
      <w:bookmarkStart w:id="209" w:name="_Toc79870485"/>
      <w:bookmarkStart w:id="210" w:name="_Toc5522"/>
      <w:bookmarkStart w:id="211" w:name="_Toc17366"/>
      <w:bookmarkStart w:id="212" w:name="_Toc1554"/>
      <w:bookmarkStart w:id="213" w:name="_Toc32043"/>
      <w:r>
        <w:rPr>
          <w:rFonts w:hint="eastAsia" w:ascii="楷体" w:hAnsi="楷体" w:eastAsia="楷体" w:cs="楷体"/>
          <w:color w:val="auto"/>
        </w:rPr>
        <w:t>（十）加强科技助力竞技体育发展</w:t>
      </w:r>
      <w:bookmarkEnd w:id="205"/>
      <w:bookmarkEnd w:id="206"/>
      <w:bookmarkEnd w:id="207"/>
      <w:bookmarkEnd w:id="208"/>
      <w:bookmarkEnd w:id="209"/>
      <w:bookmarkEnd w:id="210"/>
      <w:bookmarkEnd w:id="211"/>
      <w:bookmarkEnd w:id="212"/>
      <w:bookmarkEnd w:id="213"/>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加大训练、科研投入，提高选材训练科技含量。采用政府购买方式，与体育科研机构合作成立体育科研站焦作分站，运用数据分析指导教练员提高训练质量。加大运动康复、治疗投入，运用专业恢复治疗手段，保障运动员健康和伤病治疗。加大教练员科研培训投入，提升教练员运用科研数据指导训练工作的能力。加强运动创伤防治与康复、医务监督和运动营养工作。</w:t>
      </w:r>
    </w:p>
    <w:p>
      <w:pPr>
        <w:pStyle w:val="3"/>
        <w:spacing w:before="0" w:after="0" w:line="560" w:lineRule="exact"/>
        <w:ind w:firstLine="640" w:firstLineChars="200"/>
        <w:rPr>
          <w:rFonts w:ascii="黑体" w:hAnsi="黑体" w:eastAsia="黑体" w:cs="黑体"/>
          <w:b w:val="0"/>
          <w:color w:val="auto"/>
        </w:rPr>
      </w:pPr>
      <w:bookmarkStart w:id="214" w:name="_Toc28947"/>
      <w:bookmarkStart w:id="215" w:name="_Toc20743"/>
      <w:bookmarkStart w:id="216" w:name="_Toc21519"/>
      <w:bookmarkStart w:id="217" w:name="_Toc5721"/>
      <w:bookmarkStart w:id="218" w:name="_Toc6521"/>
      <w:bookmarkStart w:id="219" w:name="_Toc24601"/>
      <w:bookmarkStart w:id="220" w:name="_Toc26455"/>
      <w:bookmarkStart w:id="221" w:name="_Toc14131"/>
      <w:bookmarkStart w:id="222" w:name="_Toc79870486"/>
      <w:r>
        <w:rPr>
          <w:rFonts w:hint="eastAsia" w:ascii="黑体" w:hAnsi="黑体" w:eastAsia="黑体" w:cs="黑体"/>
          <w:b w:val="0"/>
          <w:color w:val="auto"/>
        </w:rPr>
        <w:t>三、体育产业高质量发展</w:t>
      </w:r>
      <w:bookmarkEnd w:id="214"/>
      <w:bookmarkEnd w:id="215"/>
      <w:bookmarkEnd w:id="216"/>
      <w:bookmarkEnd w:id="217"/>
      <w:bookmarkEnd w:id="218"/>
      <w:bookmarkEnd w:id="219"/>
      <w:bookmarkEnd w:id="220"/>
      <w:bookmarkEnd w:id="221"/>
      <w:bookmarkEnd w:id="222"/>
    </w:p>
    <w:p>
      <w:pPr>
        <w:pStyle w:val="4"/>
        <w:spacing w:before="0" w:after="0" w:line="560" w:lineRule="exact"/>
        <w:ind w:firstLine="642" w:firstLineChars="200"/>
        <w:rPr>
          <w:rFonts w:ascii="宋体" w:hAnsi="宋体" w:cs="宋体"/>
          <w:bCs w:val="0"/>
          <w:color w:val="auto"/>
        </w:rPr>
      </w:pPr>
      <w:bookmarkStart w:id="223" w:name="_Toc23167"/>
      <w:bookmarkStart w:id="224" w:name="_Toc24226"/>
      <w:bookmarkStart w:id="225" w:name="_Toc79870487"/>
      <w:bookmarkStart w:id="226" w:name="_Toc17803"/>
      <w:bookmarkStart w:id="227" w:name="_Toc3316"/>
      <w:bookmarkStart w:id="228" w:name="_Toc11625"/>
      <w:bookmarkStart w:id="229" w:name="_Toc19112"/>
      <w:bookmarkStart w:id="230" w:name="_Toc11305"/>
      <w:bookmarkStart w:id="231" w:name="_Toc10377"/>
      <w:r>
        <w:rPr>
          <w:rFonts w:hint="eastAsia" w:ascii="楷体" w:hAnsi="楷体" w:eastAsia="楷体" w:cs="楷体"/>
          <w:bCs w:val="0"/>
          <w:color w:val="auto"/>
        </w:rPr>
        <w:t>（十一）优化产业环境</w:t>
      </w:r>
      <w:bookmarkEnd w:id="223"/>
      <w:bookmarkEnd w:id="224"/>
      <w:bookmarkEnd w:id="225"/>
      <w:bookmarkEnd w:id="226"/>
    </w:p>
    <w:p>
      <w:pPr>
        <w:spacing w:line="560" w:lineRule="exact"/>
        <w:ind w:firstLine="640" w:firstLineChars="200"/>
        <w:rPr>
          <w:rFonts w:ascii="仿宋_GB2312" w:eastAsia="仿宋_GB2312"/>
          <w:color w:val="auto"/>
          <w:sz w:val="32"/>
          <w:szCs w:val="32"/>
        </w:rPr>
      </w:pPr>
      <w:r>
        <w:rPr>
          <w:rFonts w:hint="eastAsia" w:ascii="仿宋" w:hAnsi="仿宋" w:eastAsia="仿宋" w:cstheme="minorBidi"/>
          <w:bCs/>
          <w:color w:val="auto"/>
          <w:sz w:val="32"/>
          <w:szCs w:val="32"/>
        </w:rPr>
        <w:t>整合现有体育产业资源，出台《焦作市鼓励社会力量举（承）办重要体育赛事市级补助资金管理办法》《焦作市关于促进全民健身和体育消费推动体育产业高质量发展的实施意见》等政策文件，通过资金、税费和土地等政策扶持，为全市体育产业发展创造良好政策环境。完善体育产业相关数据统计，精准掌握我市体育产业生产总值、增加值，以及增加值占</w:t>
      </w:r>
      <w:r>
        <w:rPr>
          <w:rFonts w:ascii="仿宋" w:hAnsi="仿宋" w:eastAsia="仿宋" w:cstheme="minorBidi"/>
          <w:bCs/>
          <w:color w:val="auto"/>
          <w:sz w:val="32"/>
          <w:szCs w:val="32"/>
        </w:rPr>
        <w:t>GDP</w:t>
      </w:r>
      <w:r>
        <w:rPr>
          <w:rFonts w:hint="eastAsia" w:ascii="仿宋" w:hAnsi="仿宋" w:eastAsia="仿宋" w:cstheme="minorBidi"/>
          <w:bCs/>
          <w:color w:val="auto"/>
          <w:sz w:val="32"/>
          <w:szCs w:val="32"/>
        </w:rPr>
        <w:t>比重等数据，全面了解我市体育产业发展情况。定期召开体育企业政策培训会，加强政府与企业沟通交流，方便企业及时了解产业政策变化。</w:t>
      </w:r>
    </w:p>
    <w:p>
      <w:pPr>
        <w:pStyle w:val="4"/>
        <w:widowControl/>
        <w:spacing w:before="0" w:after="0" w:line="560" w:lineRule="exact"/>
        <w:ind w:firstLine="642" w:firstLineChars="200"/>
        <w:jc w:val="left"/>
        <w:rPr>
          <w:rFonts w:ascii="楷体" w:hAnsi="楷体" w:eastAsia="楷体" w:cs="楷体"/>
          <w:color w:val="auto"/>
        </w:rPr>
      </w:pPr>
      <w:bookmarkStart w:id="232" w:name="_Toc79870488"/>
      <w:bookmarkStart w:id="233" w:name="_Toc1222"/>
      <w:bookmarkStart w:id="234" w:name="_Toc1375"/>
      <w:bookmarkStart w:id="235" w:name="_Toc14110"/>
      <w:r>
        <w:rPr>
          <w:rFonts w:hint="eastAsia" w:ascii="楷体" w:hAnsi="楷体" w:eastAsia="楷体" w:cs="楷体"/>
          <w:bCs w:val="0"/>
          <w:color w:val="auto"/>
        </w:rPr>
        <w:t>（十二）</w:t>
      </w:r>
      <w:bookmarkEnd w:id="227"/>
      <w:r>
        <w:rPr>
          <w:rFonts w:hint="eastAsia" w:ascii="楷体" w:hAnsi="楷体" w:eastAsia="楷体" w:cs="楷体"/>
          <w:bCs w:val="0"/>
          <w:color w:val="auto"/>
        </w:rPr>
        <w:t>扩大产业规模</w:t>
      </w:r>
      <w:bookmarkEnd w:id="232"/>
      <w:bookmarkEnd w:id="233"/>
      <w:bookmarkEnd w:id="234"/>
      <w:bookmarkEnd w:id="235"/>
    </w:p>
    <w:p>
      <w:pPr>
        <w:pStyle w:val="5"/>
        <w:widowControl/>
        <w:spacing w:before="0" w:after="0" w:line="560" w:lineRule="exact"/>
        <w:ind w:firstLine="642" w:firstLineChars="200"/>
        <w:jc w:val="left"/>
        <w:rPr>
          <w:rFonts w:ascii="仿宋" w:hAnsi="仿宋" w:eastAsia="仿宋" w:cs="仿宋"/>
          <w:color w:val="auto"/>
          <w:sz w:val="32"/>
          <w:szCs w:val="32"/>
        </w:rPr>
      </w:pPr>
      <w:r>
        <w:rPr>
          <w:rFonts w:hint="eastAsia" w:ascii="仿宋" w:hAnsi="仿宋" w:eastAsia="仿宋" w:cs="仿宋"/>
          <w:color w:val="auto"/>
          <w:sz w:val="32"/>
          <w:szCs w:val="32"/>
        </w:rPr>
        <w:t>1.专注重点产业</w:t>
      </w:r>
    </w:p>
    <w:p>
      <w:pPr>
        <w:widowControl/>
        <w:spacing w:line="560" w:lineRule="exact"/>
        <w:ind w:firstLine="642"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做强体育用品制造业。</w:t>
      </w:r>
      <w:r>
        <w:rPr>
          <w:rFonts w:hint="eastAsia" w:ascii="仿宋" w:hAnsi="仿宋" w:eastAsia="仿宋" w:cstheme="minorBidi"/>
          <w:bCs/>
          <w:color w:val="auto"/>
          <w:sz w:val="32"/>
          <w:szCs w:val="32"/>
        </w:rPr>
        <w:t>引导传统体育制造企业转型升级，鼓励焦作市三利达射箭器材股份有限公司、红棉鞋业有限公司、圣锦武术器械有限公司等体育用品制造企业提高研发支出，提升自主创新能力，增强产品的技术含量，延长产业链。做好体育制造企业出口转内销的帮扶，帮助体育制造企业打开国内市场。</w:t>
      </w:r>
    </w:p>
    <w:p>
      <w:pPr>
        <w:widowControl/>
        <w:spacing w:line="560" w:lineRule="exact"/>
        <w:ind w:firstLine="642" w:firstLineChars="200"/>
        <w:rPr>
          <w:rFonts w:ascii="仿宋" w:hAnsi="仿宋" w:eastAsia="仿宋" w:cstheme="minorBidi"/>
          <w:bCs/>
          <w:color w:val="auto"/>
          <w:sz w:val="32"/>
          <w:szCs w:val="32"/>
        </w:rPr>
      </w:pPr>
      <w:r>
        <w:rPr>
          <w:rFonts w:hint="eastAsia" w:ascii="仿宋" w:hAnsi="仿宋" w:eastAsia="仿宋" w:cs="仿宋_GB2312"/>
          <w:b/>
          <w:bCs/>
          <w:color w:val="auto"/>
          <w:sz w:val="32"/>
          <w:szCs w:val="32"/>
        </w:rPr>
        <w:t>着力发展竞赛表演业。</w:t>
      </w:r>
      <w:r>
        <w:rPr>
          <w:rFonts w:hint="eastAsia" w:ascii="仿宋" w:hAnsi="仿宋" w:eastAsia="仿宋" w:cstheme="minorBidi"/>
          <w:bCs/>
          <w:color w:val="auto"/>
          <w:sz w:val="32"/>
          <w:szCs w:val="32"/>
        </w:rPr>
        <w:t>依托焦作</w:t>
      </w:r>
      <w:r>
        <w:rPr>
          <w:rFonts w:hint="eastAsia" w:ascii="仿宋" w:hAnsi="仿宋" w:eastAsia="仿宋"/>
          <w:color w:val="auto"/>
          <w:sz w:val="32"/>
        </w:rPr>
        <w:t>篮球、田径、游泳、赛艇、武</w:t>
      </w:r>
      <w:r>
        <w:rPr>
          <w:rFonts w:hint="eastAsia" w:ascii="仿宋" w:hAnsi="仿宋" w:eastAsia="仿宋" w:cstheme="minorBidi"/>
          <w:bCs/>
          <w:color w:val="auto"/>
          <w:sz w:val="32"/>
          <w:szCs w:val="32"/>
        </w:rPr>
        <w:t>术、射箭、乒乓</w:t>
      </w:r>
      <w:r>
        <w:rPr>
          <w:rFonts w:hint="eastAsia" w:ascii="仿宋" w:hAnsi="仿宋" w:eastAsia="仿宋"/>
          <w:color w:val="auto"/>
          <w:sz w:val="32"/>
        </w:rPr>
        <w:t>球等项目优势，引进国际、国家级赛事落户焦作；挖掘</w:t>
      </w:r>
      <w:r>
        <w:rPr>
          <w:rFonts w:hint="eastAsia" w:ascii="仿宋" w:hAnsi="仿宋" w:eastAsia="仿宋"/>
          <w:color w:val="auto"/>
          <w:sz w:val="32"/>
        </w:rPr>
        <w:t>射击、</w:t>
      </w:r>
      <w:r>
        <w:rPr>
          <w:rFonts w:hint="eastAsia" w:ascii="仿宋" w:hAnsi="仿宋" w:eastAsia="仿宋"/>
          <w:color w:val="auto"/>
          <w:sz w:val="32"/>
        </w:rPr>
        <w:t>网球</w:t>
      </w:r>
      <w:r>
        <w:rPr>
          <w:rFonts w:hint="eastAsia" w:ascii="仿宋" w:hAnsi="仿宋" w:eastAsia="仿宋"/>
          <w:color w:val="auto"/>
          <w:sz w:val="32"/>
        </w:rPr>
        <w:t>、足球、自行车、重竞技、幼儿体操、排球、羽毛球、轮滑、滑雪等项目潜力，引进国家、省级赛事落户焦作。</w:t>
      </w:r>
      <w:r>
        <w:rPr>
          <w:rFonts w:hint="eastAsia" w:ascii="仿宋" w:hAnsi="仿宋" w:eastAsia="仿宋" w:cstheme="minorBidi"/>
          <w:bCs/>
          <w:color w:val="auto"/>
          <w:sz w:val="32"/>
          <w:szCs w:val="32"/>
        </w:rPr>
        <w:t>依托焦作山地资源，引进职业化程度高的山地越野、定向越野等赛事落户焦作。依托水资源引进皮划艇、赛艇、桨板等国际、国内高水平赛事落户焦作，并配套相应鼓励政策。到“十四五”末，至少引进2个国家级以上级别赛事落户焦作，培育1-2个特色鲜明的本土品牌赛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heme="minorEastAsia" w:hAnsiTheme="minorEastAsia"/>
                <w:b/>
                <w:color w:val="auto"/>
                <w:sz w:val="24"/>
                <w:szCs w:val="24"/>
              </w:rPr>
            </w:pPr>
            <w:r>
              <w:rPr>
                <w:rFonts w:hint="eastAsia" w:ascii="宋体" w:hAnsi="宋体" w:cs="宋体"/>
                <w:b/>
                <w:color w:val="auto"/>
                <w:sz w:val="24"/>
                <w:szCs w:val="24"/>
              </w:rPr>
              <w:t>专栏4 焦作品牌赛事计划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1.围绕打造“世界太极城、中国养生地”目标，办好“中国焦作国际太极拳大赛暨云台山旅游节”，同时培育1-2项新型国际性赛事。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2.创办1-2项市级赛事品牌，丰富篮球文化节内涵，通过郑洛焦一体化发展，将篮球文化节打造成为区域内知名的篮球赛事嘉年华。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3.培育和引进1-2个群众性精品赛事，建立起总决赛在市、分站赛在区县的办赛体系。</w:t>
            </w:r>
          </w:p>
        </w:tc>
      </w:tr>
    </w:tbl>
    <w:p>
      <w:pPr>
        <w:widowControl/>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培育</w:t>
      </w:r>
      <w:r>
        <w:rPr>
          <w:rFonts w:hint="eastAsia" w:ascii="仿宋" w:hAnsi="仿宋" w:eastAsia="仿宋" w:cs="仿宋_GB2312"/>
          <w:b/>
          <w:color w:val="auto"/>
          <w:sz w:val="32"/>
          <w:szCs w:val="32"/>
        </w:rPr>
        <w:t>运动休闲产业。</w:t>
      </w:r>
      <w:r>
        <w:rPr>
          <w:rFonts w:hint="eastAsia" w:ascii="仿宋" w:hAnsi="仿宋" w:eastAsia="仿宋" w:cs="仿宋_GB2312"/>
          <w:bCs/>
          <w:color w:val="auto"/>
          <w:sz w:val="32"/>
          <w:szCs w:val="32"/>
        </w:rPr>
        <w:t>打造水陆双栖运动休闲区。依托</w:t>
      </w:r>
      <w:r>
        <w:rPr>
          <w:rFonts w:hint="eastAsia" w:ascii="仿宋" w:hAnsi="仿宋" w:eastAsia="仿宋" w:cstheme="minorBidi"/>
          <w:bCs/>
          <w:color w:val="auto"/>
          <w:sz w:val="32"/>
          <w:szCs w:val="32"/>
        </w:rPr>
        <w:t>云台山</w:t>
      </w:r>
      <w:r>
        <w:rPr>
          <w:rFonts w:hint="eastAsia" w:ascii="仿宋" w:hAnsi="仿宋" w:eastAsia="仿宋" w:cstheme="minorBidi"/>
          <w:bCs/>
          <w:color w:val="auto"/>
          <w:sz w:val="32"/>
          <w:szCs w:val="32"/>
        </w:rPr>
        <w:t>国家级体育旅游基地、陈家沟省级体育旅游基地，</w:t>
      </w:r>
      <w:r>
        <w:rPr>
          <w:rFonts w:hint="eastAsia" w:ascii="仿宋" w:hAnsi="仿宋" w:eastAsia="仿宋" w:cstheme="minorBidi"/>
          <w:bCs/>
          <w:color w:val="auto"/>
          <w:sz w:val="32"/>
          <w:szCs w:val="32"/>
        </w:rPr>
        <w:t>结合青天河省级户外运动基地、青天河和青龙峡全国森林康养基地、恒大养生谷、修武云武堂康养小镇、南太行体育健身步道、卢亮沟智慧共享户外出发营地、靳家岭森林康养基地、和生国际康养城等基地开发山地越野、定向越野、山地骑行、房车、极限运动、垂钓、滑翔伞等项目，打造焦作南太行特色山地户外运动休闲区，开发山地户外休闲运动精品路线；依托焦作南水北调中线干渠、黄河流域绿色廊道、各类水库、大沙河等水资源引进</w:t>
      </w:r>
      <w:r>
        <w:rPr>
          <w:rFonts w:hint="eastAsia" w:ascii="仿宋" w:hAnsi="仿宋" w:eastAsia="仿宋" w:cs="仿宋_GB2312"/>
          <w:color w:val="auto"/>
          <w:sz w:val="32"/>
          <w:szCs w:val="32"/>
        </w:rPr>
        <w:t>皮划艇、桨板、徒步、骑行、沙滩排球等运动项目</w:t>
      </w:r>
      <w:r>
        <w:rPr>
          <w:rFonts w:hint="eastAsia" w:ascii="仿宋" w:hAnsi="仿宋" w:eastAsia="仿宋" w:cstheme="minorBidi"/>
          <w:bCs/>
          <w:color w:val="auto"/>
          <w:sz w:val="32"/>
          <w:szCs w:val="32"/>
        </w:rPr>
        <w:t>，打造水上运动休闲中心，开发水上休闲运动精品路线。到“十四五”末期，培育2个以上运动休闲小镇和户外体育活动营地，做好体育产业示范基地、示范单位和示范项目的培育与管理。</w:t>
      </w:r>
    </w:p>
    <w:p>
      <w:pPr>
        <w:spacing w:line="560" w:lineRule="exact"/>
        <w:ind w:firstLine="642" w:firstLineChars="200"/>
        <w:rPr>
          <w:rFonts w:ascii="仿宋" w:hAnsi="仿宋" w:eastAsia="仿宋" w:cstheme="minorBidi"/>
          <w:bCs/>
          <w:color w:val="auto"/>
          <w:sz w:val="32"/>
          <w:szCs w:val="32"/>
        </w:rPr>
      </w:pPr>
      <w:r>
        <w:rPr>
          <w:rFonts w:hint="eastAsia" w:ascii="仿宋" w:hAnsi="仿宋" w:eastAsia="仿宋" w:cs="仿宋_GB2312"/>
          <w:b/>
          <w:bCs/>
          <w:color w:val="auto"/>
          <w:sz w:val="32"/>
          <w:szCs w:val="32"/>
        </w:rPr>
        <w:t>鼓励发展体育培训业。</w:t>
      </w:r>
      <w:r>
        <w:rPr>
          <w:rFonts w:hint="eastAsia" w:ascii="仿宋" w:hAnsi="仿宋" w:eastAsia="仿宋" w:cstheme="minorBidi"/>
          <w:bCs/>
          <w:color w:val="auto"/>
          <w:sz w:val="32"/>
          <w:szCs w:val="32"/>
        </w:rPr>
        <w:t>推动青少年体育培训发展，鼓励</w:t>
      </w:r>
      <w:r>
        <w:rPr>
          <w:rFonts w:hint="eastAsia" w:ascii="仿宋" w:hAnsi="仿宋" w:eastAsia="仿宋" w:cstheme="minorBidi"/>
          <w:bCs/>
          <w:color w:val="auto"/>
          <w:sz w:val="32"/>
          <w:szCs w:val="32"/>
        </w:rPr>
        <w:t>焦作市跆拳道、篮球、羽毛球等优质</w:t>
      </w:r>
      <w:r>
        <w:rPr>
          <w:rFonts w:hint="eastAsia" w:ascii="仿宋" w:hAnsi="仿宋" w:eastAsia="仿宋" w:cstheme="minorBidi"/>
          <w:bCs/>
          <w:color w:val="auto"/>
          <w:sz w:val="32"/>
          <w:szCs w:val="32"/>
        </w:rPr>
        <w:t>青少年体育培训机构做大做强，鼓励其加强与体育联盟、知名赛事机构的合作，打造知名的青少年冬夏令营。充分挖掘成人、老年人培训市场潜力，引导社会俱乐部、老年人体育协会等体育培训机构提供成年人、老年人培训服务，引导成人养成终身运动习惯。鼓励支持退役运动员从事体育培训工作。</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ascii="仿宋" w:hAnsi="仿宋" w:eastAsia="仿宋" w:cstheme="minorBidi"/>
          <w:bCs/>
          <w:color w:val="auto"/>
          <w:sz w:val="32"/>
          <w:szCs w:val="32"/>
        </w:rPr>
      </w:pPr>
      <w:r>
        <w:rPr>
          <w:rFonts w:hint="eastAsia" w:ascii="仿宋" w:hAnsi="仿宋" w:eastAsia="仿宋" w:cs="仿宋_GB2312"/>
          <w:b/>
          <w:bCs/>
          <w:color w:val="auto"/>
          <w:sz w:val="32"/>
          <w:szCs w:val="32"/>
        </w:rPr>
        <w:t>推进体育融合发展。</w:t>
      </w:r>
      <w:r>
        <w:rPr>
          <w:rFonts w:hint="eastAsia" w:ascii="仿宋" w:hAnsi="仿宋" w:eastAsia="仿宋" w:cs="仿宋_GB2312"/>
          <w:color w:val="auto"/>
          <w:sz w:val="32"/>
          <w:szCs w:val="32"/>
        </w:rPr>
        <w:t>结合焦作旅游资源优势，将体育与旅游融合发展，打造2条以上体育旅游精品路线。将体育融入美丽乡村建设，充分挖掘农村闲置农房、空地等建设户外休闲运动补给站，推进体育农业融合发展。</w:t>
      </w:r>
      <w:r>
        <w:rPr>
          <w:rFonts w:hint="eastAsia" w:ascii="仿宋" w:hAnsi="仿宋" w:eastAsia="仿宋" w:cstheme="minorBidi"/>
          <w:bCs/>
          <w:color w:val="auto"/>
          <w:sz w:val="32"/>
          <w:szCs w:val="32"/>
        </w:rPr>
        <w:t>推进体育医疗深度融合，将体育锻炼作为预防疾病的重要手段；推动运动营养学发展，鼓励开办运动康复机构，引导健身房设置运动康复课程，推动康养基地发展。推动</w:t>
      </w:r>
      <w:r>
        <w:rPr>
          <w:rFonts w:hint="eastAsia" w:ascii="仿宋" w:hAnsi="仿宋" w:eastAsia="仿宋" w:cs="仿宋_GB2312"/>
          <w:color w:val="auto"/>
          <w:sz w:val="32"/>
          <w:szCs w:val="32"/>
        </w:rPr>
        <w:t>体育与会展融合，</w:t>
      </w:r>
      <w:r>
        <w:rPr>
          <w:rFonts w:hint="eastAsia" w:ascii="仿宋" w:hAnsi="仿宋" w:eastAsia="仿宋" w:cstheme="minorBidi"/>
          <w:bCs/>
          <w:color w:val="auto"/>
          <w:sz w:val="32"/>
          <w:szCs w:val="32"/>
        </w:rPr>
        <w:t>依托现有大型场馆开办各类体育主题专项会展，在重大赛事期间同时举办会展、专家研讨会、论坛等。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8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heme="minorEastAsia" w:hAnsiTheme="minorEastAsia"/>
                <w:b/>
                <w:color w:val="auto"/>
                <w:sz w:val="24"/>
                <w:szCs w:val="24"/>
              </w:rPr>
            </w:pPr>
            <w:r>
              <w:rPr>
                <w:rFonts w:hint="eastAsia" w:ascii="宋体" w:hAnsi="宋体" w:cs="宋体"/>
                <w:b/>
                <w:color w:val="auto"/>
                <w:sz w:val="24"/>
                <w:szCs w:val="24"/>
              </w:rPr>
              <w:t>专栏5 焦作体育会展计划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8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color w:val="auto"/>
                <w:sz w:val="24"/>
                <w:szCs w:val="24"/>
              </w:rPr>
            </w:pPr>
            <w:r>
              <w:rPr>
                <w:rFonts w:hint="eastAsia" w:asciiTheme="minorEastAsia" w:hAnsiTheme="minorEastAsia"/>
                <w:color w:val="auto"/>
                <w:sz w:val="24"/>
                <w:szCs w:val="24"/>
              </w:rPr>
              <w:t>在“中国焦作国际太极拳大赛”举办期间，举行太极拳专家研讨会、论坛等活动，挖掘太极拳赛事经济价值。</w:t>
            </w:r>
          </w:p>
        </w:tc>
      </w:tr>
      <w:bookmarkEnd w:id="228"/>
      <w:bookmarkEnd w:id="229"/>
      <w:bookmarkEnd w:id="230"/>
      <w:bookmarkEnd w:id="231"/>
    </w:tbl>
    <w:p>
      <w:pPr>
        <w:pStyle w:val="5"/>
        <w:widowControl/>
        <w:spacing w:before="0" w:after="0" w:line="560" w:lineRule="exact"/>
        <w:ind w:firstLine="642" w:firstLineChars="200"/>
        <w:jc w:val="left"/>
        <w:rPr>
          <w:rFonts w:ascii="仿宋" w:hAnsi="仿宋" w:eastAsia="仿宋" w:cs="仿宋"/>
          <w:color w:val="auto"/>
          <w:sz w:val="32"/>
          <w:szCs w:val="32"/>
        </w:rPr>
      </w:pPr>
      <w:r>
        <w:rPr>
          <w:rFonts w:hint="eastAsia" w:ascii="仿宋" w:hAnsi="仿宋" w:eastAsia="仿宋" w:cs="仿宋"/>
          <w:color w:val="auto"/>
          <w:sz w:val="32"/>
          <w:szCs w:val="32"/>
        </w:rPr>
        <w:t>2.发展特色项目</w:t>
      </w:r>
    </w:p>
    <w:p>
      <w:pPr>
        <w:widowControl/>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推进太极拳产业发展。</w:t>
      </w:r>
      <w:r>
        <w:rPr>
          <w:rFonts w:hint="eastAsia" w:ascii="仿宋" w:hAnsi="仿宋" w:eastAsia="仿宋" w:cstheme="minorBidi"/>
          <w:bCs/>
          <w:color w:val="auto"/>
          <w:sz w:val="32"/>
          <w:szCs w:val="32"/>
        </w:rPr>
        <w:t>树立“大太极拳产业观”，以太极拳运动为主线，将赛事、演艺、商展、娱乐、培训等相关活动有机融合。加速推进太极拳小镇建设，推进太极拳与美丽乡村、加工制造、金融商贸、文化教育、医疗卫生等一、二、三产业深度融合。构建太极拳医疗、太极拳康养、太极拳制造、太极拳创意、太极拳康复等复合型产业，为太极拳产业发展提供新的“引擎”。通过太极拳运动与生产、加工、销售、体验等各环节有机融合，完善太极拳产业链，提升太极拳产业发展水平和综合价值。</w:t>
      </w:r>
      <w:r>
        <w:rPr>
          <w:rFonts w:hint="eastAsia" w:ascii="仿宋" w:hAnsi="仿宋" w:eastAsia="仿宋" w:cstheme="minorBidi"/>
          <w:color w:val="auto"/>
          <w:sz w:val="32"/>
          <w:szCs w:val="32"/>
        </w:rPr>
        <w:t>实施太极拳人才计划，</w:t>
      </w:r>
      <w:r>
        <w:rPr>
          <w:rFonts w:hint="eastAsia" w:ascii="仿宋" w:hAnsi="仿宋" w:eastAsia="仿宋" w:cstheme="minorBidi"/>
          <w:bCs/>
          <w:color w:val="auto"/>
          <w:sz w:val="32"/>
          <w:szCs w:val="32"/>
        </w:rPr>
        <w:t>建立太极拳人才标准，加强名师、拳师的选拔与培养，打造“重武德、懂理论、会教学、能展示”的太极拳师资队伍。“十四五”时期，培育100名以上太极拳名师（中国武术七段以上）、1000名以上太极拳拳师、10000名以上太极拳社会体育指导员。</w:t>
      </w:r>
    </w:p>
    <w:p>
      <w:pPr>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推动篮球产业发展。</w:t>
      </w:r>
      <w:r>
        <w:rPr>
          <w:rFonts w:hint="eastAsia" w:ascii="仿宋" w:hAnsi="仿宋" w:eastAsia="仿宋" w:cstheme="minorBidi"/>
          <w:bCs/>
          <w:color w:val="auto"/>
          <w:sz w:val="32"/>
          <w:szCs w:val="32"/>
        </w:rPr>
        <w:t>以职业赛事为引领，出台相关政策，鼓励社会力量举办赛事，引进青少年篮球赛事，提升职业篮球影响力。以大众赛事为支撑，继续丰富篮球文化节内容，抓住郑洛焦一体化发展机遇，将篮球文化节打造成区域知名的篮球嘉年华；继续办好乡村篮球赛，推进乡村篮球规模发展，打造乡村篮球文化品牌。深入推进体教融合，建立小学、初中、高中篮球教学与赛事体系，增加青少年参与篮球活动与赛事机会。鼓励协会、俱乐部以及体育企业举办比赛。充分利用焦作现有篮球培训基础，进一步推进篮球培训业发展，引导企业创建自主品牌。</w:t>
      </w:r>
    </w:p>
    <w:p>
      <w:pPr>
        <w:pStyle w:val="4"/>
        <w:spacing w:before="0" w:after="0" w:line="560" w:lineRule="exact"/>
        <w:ind w:firstLine="642" w:firstLineChars="200"/>
        <w:rPr>
          <w:rFonts w:ascii="宋体" w:hAnsi="宋体" w:cs="宋体"/>
          <w:bCs w:val="0"/>
          <w:color w:val="auto"/>
        </w:rPr>
      </w:pPr>
      <w:bookmarkStart w:id="236" w:name="_Toc79870489"/>
      <w:bookmarkStart w:id="237" w:name="_Toc10365"/>
      <w:bookmarkStart w:id="238" w:name="_Toc23020"/>
      <w:bookmarkStart w:id="239" w:name="_Toc2113"/>
      <w:bookmarkStart w:id="240" w:name="_Toc20099"/>
      <w:bookmarkStart w:id="241" w:name="_Toc24454"/>
      <w:bookmarkStart w:id="242" w:name="_Toc1059"/>
      <w:bookmarkStart w:id="243" w:name="_Toc260"/>
      <w:bookmarkStart w:id="244" w:name="_Toc3795"/>
      <w:r>
        <w:rPr>
          <w:rFonts w:hint="eastAsia" w:ascii="楷体" w:hAnsi="楷体" w:eastAsia="楷体" w:cs="楷体"/>
          <w:bCs w:val="0"/>
          <w:color w:val="auto"/>
        </w:rPr>
        <w:t>（十三）培育产业主体</w:t>
      </w:r>
      <w:bookmarkEnd w:id="236"/>
      <w:bookmarkEnd w:id="237"/>
      <w:bookmarkEnd w:id="238"/>
      <w:bookmarkEnd w:id="239"/>
    </w:p>
    <w:bookmarkEnd w:id="240"/>
    <w:bookmarkEnd w:id="241"/>
    <w:bookmarkEnd w:id="242"/>
    <w:bookmarkEnd w:id="243"/>
    <w:bookmarkEnd w:id="244"/>
    <w:p>
      <w:pPr>
        <w:tabs>
          <w:tab w:val="left" w:pos="567"/>
        </w:tabs>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引进知名体育企业。</w:t>
      </w:r>
      <w:r>
        <w:rPr>
          <w:rFonts w:hint="eastAsia" w:ascii="仿宋" w:hAnsi="仿宋" w:eastAsia="仿宋" w:cstheme="minorBidi"/>
          <w:bCs/>
          <w:color w:val="auto"/>
          <w:sz w:val="32"/>
          <w:szCs w:val="32"/>
        </w:rPr>
        <w:t>出台鼓励和支持体育企业落户焦作的相关政策，明确体育企业落户的相关责任和义务，争取“十四五”末，引进1-2家知名体育企业。</w:t>
      </w:r>
    </w:p>
    <w:p>
      <w:pPr>
        <w:tabs>
          <w:tab w:val="left" w:pos="567"/>
        </w:tabs>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培育本土体育企业。</w:t>
      </w:r>
      <w:r>
        <w:rPr>
          <w:rFonts w:hint="eastAsia" w:ascii="仿宋" w:hAnsi="仿宋" w:eastAsia="仿宋" w:cstheme="minorBidi"/>
          <w:bCs/>
          <w:color w:val="auto"/>
          <w:sz w:val="32"/>
          <w:szCs w:val="32"/>
        </w:rPr>
        <w:t>出台优惠政策，引导区域内大型传统企业拓展体育板块，发展山地户外休闲产品，促进传统企业拓展业务范围。对现有203家体育企业进行深入调研，摸清主营方向、产品经营状况、主要困难等情况，编制体育企业名录，建立入库机制，有针对性地对入库企业进行扶持，帮助广大体育企业提升发展层次和水平。</w:t>
      </w:r>
    </w:p>
    <w:p>
      <w:pPr>
        <w:tabs>
          <w:tab w:val="left" w:pos="567"/>
        </w:tabs>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激发体育社会组织活力。</w:t>
      </w:r>
      <w:r>
        <w:rPr>
          <w:rFonts w:ascii="仿宋" w:hAnsi="仿宋" w:eastAsia="仿宋" w:cstheme="minorBidi"/>
          <w:color w:val="auto"/>
          <w:sz w:val="32"/>
          <w:szCs w:val="32"/>
        </w:rPr>
        <w:t>深化体育社会组织改革，坚持社会化、实体化、专业化</w:t>
      </w:r>
      <w:r>
        <w:rPr>
          <w:rFonts w:hint="eastAsia" w:ascii="仿宋" w:hAnsi="仿宋" w:eastAsia="仿宋" w:cstheme="minorBidi"/>
          <w:color w:val="auto"/>
          <w:sz w:val="32"/>
          <w:szCs w:val="32"/>
        </w:rPr>
        <w:t>方向</w:t>
      </w:r>
      <w:r>
        <w:rPr>
          <w:rFonts w:ascii="仿宋" w:hAnsi="仿宋" w:eastAsia="仿宋" w:cstheme="minorBidi"/>
          <w:color w:val="auto"/>
          <w:sz w:val="32"/>
          <w:szCs w:val="32"/>
        </w:rPr>
        <w:t>，激发体育社会组织创新发展活力，引导体育社</w:t>
      </w:r>
      <w:r>
        <w:rPr>
          <w:rFonts w:hint="eastAsia" w:ascii="仿宋" w:hAnsi="仿宋" w:eastAsia="仿宋" w:cstheme="minorBidi"/>
          <w:color w:val="auto"/>
          <w:sz w:val="32"/>
          <w:szCs w:val="32"/>
        </w:rPr>
        <w:t>会</w:t>
      </w:r>
      <w:r>
        <w:rPr>
          <w:rFonts w:ascii="仿宋" w:hAnsi="仿宋" w:eastAsia="仿宋" w:cstheme="minorBidi"/>
          <w:color w:val="auto"/>
          <w:sz w:val="32"/>
          <w:szCs w:val="32"/>
        </w:rPr>
        <w:t>组织提供高水平的赛事策划、活动组织、</w:t>
      </w:r>
      <w:r>
        <w:rPr>
          <w:rFonts w:hint="eastAsia" w:ascii="仿宋" w:hAnsi="仿宋" w:eastAsia="仿宋" w:cstheme="minorBidi"/>
          <w:color w:val="auto"/>
          <w:sz w:val="32"/>
          <w:szCs w:val="32"/>
        </w:rPr>
        <w:t>人</w:t>
      </w:r>
      <w:r>
        <w:rPr>
          <w:rFonts w:ascii="仿宋" w:hAnsi="仿宋" w:eastAsia="仿宋" w:cstheme="minorBidi"/>
          <w:color w:val="auto"/>
          <w:sz w:val="32"/>
          <w:szCs w:val="32"/>
        </w:rPr>
        <w:t>员培训</w:t>
      </w:r>
      <w:r>
        <w:rPr>
          <w:rFonts w:hint="eastAsia" w:ascii="仿宋" w:hAnsi="仿宋" w:eastAsia="仿宋" w:cstheme="minorBidi"/>
          <w:color w:val="auto"/>
          <w:sz w:val="32"/>
          <w:szCs w:val="32"/>
        </w:rPr>
        <w:t>、</w:t>
      </w:r>
      <w:r>
        <w:rPr>
          <w:rFonts w:ascii="仿宋" w:hAnsi="仿宋" w:eastAsia="仿宋" w:cstheme="minorBidi"/>
          <w:color w:val="auto"/>
          <w:sz w:val="32"/>
          <w:szCs w:val="32"/>
        </w:rPr>
        <w:t>劳务派遣、登记注册等专业化服务。</w:t>
      </w:r>
    </w:p>
    <w:p>
      <w:pPr>
        <w:pStyle w:val="4"/>
        <w:spacing w:before="0" w:after="0" w:line="560" w:lineRule="exact"/>
        <w:ind w:firstLine="642" w:firstLineChars="200"/>
        <w:rPr>
          <w:rFonts w:ascii="宋体" w:hAnsi="宋体" w:cs="宋体"/>
          <w:bCs w:val="0"/>
          <w:color w:val="auto"/>
        </w:rPr>
      </w:pPr>
      <w:bookmarkStart w:id="245" w:name="_Toc28115"/>
      <w:bookmarkStart w:id="246" w:name="_Toc79870490"/>
      <w:bookmarkStart w:id="247" w:name="_Toc27128"/>
      <w:bookmarkStart w:id="248" w:name="_Toc9830"/>
      <w:bookmarkStart w:id="249" w:name="_Toc16518"/>
      <w:bookmarkStart w:id="250" w:name="_Toc4875"/>
      <w:bookmarkStart w:id="251" w:name="_Toc14676"/>
      <w:bookmarkStart w:id="252" w:name="_Toc8398"/>
      <w:bookmarkStart w:id="253" w:name="_Toc32230"/>
      <w:r>
        <w:rPr>
          <w:rFonts w:hint="eastAsia" w:ascii="楷体" w:hAnsi="楷体" w:eastAsia="楷体" w:cs="楷体"/>
          <w:bCs w:val="0"/>
          <w:color w:val="auto"/>
        </w:rPr>
        <w:t>（十四）推进产业智能发展</w:t>
      </w:r>
      <w:bookmarkEnd w:id="245"/>
      <w:bookmarkEnd w:id="246"/>
      <w:bookmarkEnd w:id="247"/>
      <w:bookmarkEnd w:id="248"/>
      <w:bookmarkEnd w:id="249"/>
    </w:p>
    <w:p>
      <w:pPr>
        <w:tabs>
          <w:tab w:val="left" w:pos="567"/>
        </w:tabs>
        <w:spacing w:line="560" w:lineRule="exact"/>
        <w:ind w:firstLine="642" w:firstLineChars="200"/>
        <w:rPr>
          <w:rFonts w:ascii="仿宋" w:hAnsi="仿宋" w:eastAsia="仿宋" w:cstheme="minorBidi"/>
          <w:bCs/>
          <w:color w:val="auto"/>
          <w:sz w:val="32"/>
          <w:szCs w:val="32"/>
        </w:rPr>
      </w:pPr>
      <w:r>
        <w:rPr>
          <w:rFonts w:hint="eastAsia" w:ascii="仿宋" w:hAnsi="仿宋" w:eastAsia="仿宋" w:cstheme="minorBidi"/>
          <w:b/>
          <w:color w:val="auto"/>
          <w:sz w:val="32"/>
          <w:szCs w:val="32"/>
        </w:rPr>
        <w:t>推进智慧平台建设。</w:t>
      </w:r>
      <w:r>
        <w:rPr>
          <w:rFonts w:hint="eastAsia" w:ascii="仿宋" w:hAnsi="仿宋" w:eastAsia="仿宋" w:cstheme="minorBidi"/>
          <w:bCs/>
          <w:color w:val="auto"/>
          <w:sz w:val="32"/>
          <w:szCs w:val="32"/>
        </w:rPr>
        <w:t>完善市级“全民健身</w:t>
      </w:r>
      <w:r>
        <w:rPr>
          <w:rFonts w:hint="eastAsia" w:ascii="仿宋" w:hAnsi="仿宋" w:eastAsia="仿宋" w:cstheme="minorBidi"/>
          <w:bCs/>
          <w:color w:val="auto"/>
          <w:sz w:val="32"/>
          <w:szCs w:val="32"/>
        </w:rPr>
        <w:t>综合服务平台</w:t>
      </w:r>
      <w:r>
        <w:rPr>
          <w:rFonts w:hint="eastAsia" w:ascii="仿宋" w:hAnsi="仿宋" w:eastAsia="仿宋" w:cstheme="minorBidi"/>
          <w:bCs/>
          <w:color w:val="auto"/>
          <w:sz w:val="32"/>
          <w:szCs w:val="32"/>
        </w:rPr>
        <w:t>”，</w:t>
      </w:r>
      <w:r>
        <w:rPr>
          <w:rFonts w:ascii="仿宋" w:hAnsi="仿宋" w:eastAsia="仿宋"/>
          <w:color w:val="auto"/>
          <w:sz w:val="32"/>
          <w:szCs w:val="32"/>
        </w:rPr>
        <w:t>整合体育企业</w:t>
      </w:r>
      <w:r>
        <w:rPr>
          <w:rFonts w:hint="eastAsia" w:ascii="仿宋" w:hAnsi="仿宋" w:eastAsia="仿宋"/>
          <w:color w:val="auto"/>
          <w:sz w:val="32"/>
          <w:szCs w:val="32"/>
        </w:rPr>
        <w:t>、</w:t>
      </w:r>
      <w:r>
        <w:rPr>
          <w:rFonts w:ascii="仿宋" w:hAnsi="仿宋" w:eastAsia="仿宋"/>
          <w:color w:val="auto"/>
          <w:sz w:val="32"/>
          <w:szCs w:val="32"/>
        </w:rPr>
        <w:t>体育赛事</w:t>
      </w:r>
      <w:r>
        <w:rPr>
          <w:rFonts w:hint="eastAsia" w:ascii="仿宋" w:hAnsi="仿宋" w:eastAsia="仿宋"/>
          <w:color w:val="auto"/>
          <w:sz w:val="32"/>
          <w:szCs w:val="32"/>
        </w:rPr>
        <w:t>、</w:t>
      </w:r>
      <w:r>
        <w:rPr>
          <w:rFonts w:ascii="仿宋" w:hAnsi="仿宋" w:eastAsia="仿宋"/>
          <w:color w:val="auto"/>
          <w:sz w:val="32"/>
          <w:szCs w:val="32"/>
        </w:rPr>
        <w:t>体育场馆设施</w:t>
      </w:r>
      <w:r>
        <w:rPr>
          <w:rFonts w:hint="eastAsia" w:ascii="仿宋" w:hAnsi="仿宋" w:eastAsia="仿宋"/>
          <w:color w:val="auto"/>
          <w:sz w:val="32"/>
          <w:szCs w:val="32"/>
        </w:rPr>
        <w:t>、</w:t>
      </w:r>
      <w:r>
        <w:rPr>
          <w:rFonts w:ascii="仿宋" w:hAnsi="仿宋" w:eastAsia="仿宋"/>
          <w:color w:val="auto"/>
          <w:sz w:val="32"/>
          <w:szCs w:val="32"/>
        </w:rPr>
        <w:t>体育旅游资源与数据</w:t>
      </w:r>
      <w:r>
        <w:rPr>
          <w:rFonts w:hint="eastAsia" w:ascii="仿宋" w:hAnsi="仿宋" w:eastAsia="仿宋" w:cstheme="minorBidi"/>
          <w:bCs/>
          <w:color w:val="auto"/>
          <w:sz w:val="32"/>
          <w:szCs w:val="32"/>
        </w:rPr>
        <w:t>，提升场馆预订、健身指导、运动分析、体质监测、交流互动、赛事参与、体育旅游咨询等综合服务水平。鼓励开发适合各类人群健身的智慧“云健身”产品，促进全民健身线上线下互动融合，积极挖掘产业平台</w:t>
      </w:r>
      <w:r>
        <w:rPr>
          <w:rFonts w:hint="eastAsia" w:ascii="仿宋" w:hAnsi="仿宋" w:eastAsia="仿宋"/>
          <w:color w:val="auto"/>
          <w:sz w:val="32"/>
          <w:szCs w:val="32"/>
        </w:rPr>
        <w:t>大数据增值服务，为体育企业提供精准的数据支持。</w:t>
      </w:r>
    </w:p>
    <w:p>
      <w:pPr>
        <w:spacing w:line="560" w:lineRule="exact"/>
        <w:ind w:firstLine="642" w:firstLineChars="200"/>
        <w:rPr>
          <w:color w:val="auto"/>
        </w:rPr>
      </w:pPr>
      <w:r>
        <w:rPr>
          <w:rFonts w:hint="eastAsia" w:ascii="仿宋" w:hAnsi="仿宋" w:eastAsia="仿宋" w:cstheme="minorBidi"/>
          <w:b/>
          <w:color w:val="auto"/>
          <w:sz w:val="32"/>
          <w:szCs w:val="32"/>
        </w:rPr>
        <w:t>推进智能场馆建设。</w:t>
      </w:r>
      <w:r>
        <w:rPr>
          <w:rFonts w:hint="eastAsia" w:ascii="仿宋" w:hAnsi="仿宋" w:eastAsia="仿宋" w:cstheme="minorBidi"/>
          <w:bCs/>
          <w:color w:val="auto"/>
          <w:sz w:val="32"/>
          <w:szCs w:val="32"/>
        </w:rPr>
        <w:t>针对区域内现有场馆实施智能升级，搭建智能场馆平台，集场馆预约、赛事信息、门票购买、培训咨询、周边商品购买功能于一体，用户可通过手机客户端、官方网站等多种渠道进行相关服务消费。</w:t>
      </w:r>
      <w:r>
        <w:rPr>
          <w:rFonts w:hint="eastAsia" w:ascii="仿宋" w:hAnsi="仿宋" w:eastAsia="仿宋"/>
          <w:color w:val="auto"/>
          <w:sz w:val="32"/>
          <w:szCs w:val="32"/>
        </w:rPr>
        <w:t>新建场馆采用智慧化技术进行建设运营。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heme="minorEastAsia" w:hAnsiTheme="minorEastAsia"/>
                <w:b/>
                <w:color w:val="auto"/>
                <w:sz w:val="24"/>
                <w:szCs w:val="24"/>
              </w:rPr>
            </w:pPr>
            <w:r>
              <w:rPr>
                <w:rFonts w:hint="eastAsia" w:ascii="宋体" w:hAnsi="宋体" w:cs="宋体"/>
                <w:b/>
                <w:color w:val="auto"/>
                <w:sz w:val="24"/>
                <w:szCs w:val="24"/>
              </w:rPr>
              <w:t>专栏6  智慧平台搭建计划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20"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1.完善市级“全民健身综合服务平台”，提升疫情监测、健身指导、运动分析、参赛信息发布等服务水平，实现全民健身线上线下互动融合。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szCs w:val="22"/>
              </w:rPr>
              <w:t>2.搭建智能场馆平台，提供线上预定场馆、门票购买、赛事信息咨询等服务。</w:t>
            </w:r>
          </w:p>
        </w:tc>
      </w:tr>
    </w:tbl>
    <w:p>
      <w:pPr>
        <w:pStyle w:val="4"/>
        <w:spacing w:before="0" w:after="0" w:line="560" w:lineRule="exact"/>
        <w:ind w:firstLine="642" w:firstLineChars="200"/>
        <w:rPr>
          <w:rFonts w:ascii="仿宋" w:hAnsi="仿宋" w:eastAsia="仿宋" w:cstheme="minorBidi"/>
          <w:bCs w:val="0"/>
          <w:color w:val="auto"/>
        </w:rPr>
      </w:pPr>
      <w:bookmarkStart w:id="254" w:name="_Toc4066"/>
      <w:bookmarkStart w:id="255" w:name="_Toc79870491"/>
      <w:bookmarkStart w:id="256" w:name="_Toc29619"/>
      <w:bookmarkStart w:id="257" w:name="_Toc12955"/>
      <w:r>
        <w:rPr>
          <w:rFonts w:hint="eastAsia" w:ascii="楷体" w:hAnsi="楷体" w:eastAsia="楷体" w:cs="楷体"/>
          <w:color w:val="auto"/>
        </w:rPr>
        <w:t>（十五）加强产业人才培养</w:t>
      </w:r>
      <w:bookmarkEnd w:id="254"/>
      <w:bookmarkEnd w:id="255"/>
      <w:bookmarkEnd w:id="256"/>
      <w:bookmarkEnd w:id="257"/>
    </w:p>
    <w:p>
      <w:pPr>
        <w:tabs>
          <w:tab w:val="left" w:pos="567"/>
        </w:tabs>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 w:val="0"/>
          <w:bCs/>
          <w:color w:val="auto"/>
          <w:sz w:val="32"/>
          <w:szCs w:val="32"/>
        </w:rPr>
        <w:t>建立产业人才培养机制。</w:t>
      </w:r>
      <w:r>
        <w:rPr>
          <w:rFonts w:hint="eastAsia" w:ascii="仿宋" w:hAnsi="仿宋" w:eastAsia="仿宋" w:cstheme="minorBidi"/>
          <w:bCs/>
          <w:color w:val="auto"/>
          <w:sz w:val="32"/>
          <w:szCs w:val="32"/>
        </w:rPr>
        <w:t>拓宽体育人才培养渠道，培养</w:t>
      </w:r>
    </w:p>
    <w:p>
      <w:pPr>
        <w:tabs>
          <w:tab w:val="left" w:pos="567"/>
        </w:tabs>
        <w:spacing w:line="560" w:lineRule="exact"/>
        <w:rPr>
          <w:bCs/>
          <w:color w:val="auto"/>
          <w:sz w:val="44"/>
          <w:szCs w:val="44"/>
        </w:rPr>
      </w:pPr>
      <w:r>
        <w:rPr>
          <w:rFonts w:hint="eastAsia" w:ascii="仿宋" w:hAnsi="仿宋" w:eastAsia="仿宋" w:cs="宋体"/>
          <w:color w:val="auto"/>
          <w:kern w:val="0"/>
          <w:sz w:val="32"/>
          <w:szCs w:val="32"/>
        </w:rPr>
        <w:t>懂经营善管理的复合型产业人才。加强与中原城市群其它城市人才培养交流与合作，探索人才联合培养模式。</w:t>
      </w:r>
      <w:r>
        <w:rPr>
          <w:rFonts w:hint="eastAsia" w:ascii="仿宋" w:hAnsi="仿宋" w:eastAsia="仿宋" w:cs="宋体"/>
          <w:color w:val="auto"/>
          <w:kern w:val="0"/>
          <w:sz w:val="32"/>
          <w:szCs w:val="32"/>
        </w:rPr>
        <w:t>推进</w:t>
      </w:r>
      <w:r>
        <w:rPr>
          <w:rFonts w:hint="eastAsia" w:ascii="仿宋" w:hAnsi="仿宋" w:eastAsia="仿宋" w:cs="宋体"/>
          <w:color w:val="auto"/>
          <w:kern w:val="0"/>
          <w:sz w:val="32"/>
          <w:szCs w:val="32"/>
        </w:rPr>
        <w:t>产、</w:t>
      </w:r>
      <w:r>
        <w:rPr>
          <w:rFonts w:hint="eastAsia" w:ascii="仿宋" w:hAnsi="仿宋" w:eastAsia="仿宋" w:cs="宋体"/>
          <w:color w:val="auto"/>
          <w:kern w:val="0"/>
          <w:sz w:val="32"/>
          <w:szCs w:val="32"/>
        </w:rPr>
        <w:t>学、</w:t>
      </w:r>
      <w:r>
        <w:rPr>
          <w:rFonts w:hint="eastAsia" w:ascii="仿宋" w:hAnsi="仿宋" w:eastAsia="仿宋" w:cs="宋体"/>
          <w:color w:val="auto"/>
          <w:kern w:val="0"/>
          <w:sz w:val="32"/>
          <w:szCs w:val="32"/>
        </w:rPr>
        <w:t>研结合及校企结合，推动高校培养应用型、实战型管理及服务人才，企业重点为学生提供实践机会，政府重点在实践基地设立、高校与企业对接、体育人才输送等方面，加强组织协调，推进体育产业人才有序培养和良性互动。</w:t>
      </w:r>
      <w:r>
        <w:rPr>
          <w:rFonts w:hint="eastAsia" w:ascii="仿宋" w:hAnsi="仿宋" w:eastAsia="仿宋" w:cstheme="minorBidi"/>
          <w:color w:val="auto"/>
          <w:sz w:val="32"/>
          <w:szCs w:val="32"/>
        </w:rPr>
        <w:t>建立产业人才名录库，设立</w:t>
      </w:r>
      <w:r>
        <w:rPr>
          <w:rFonts w:hint="eastAsia" w:ascii="仿宋" w:hAnsi="仿宋" w:eastAsia="仿宋" w:cstheme="minorBidi"/>
          <w:bCs/>
          <w:color w:val="auto"/>
          <w:sz w:val="32"/>
          <w:szCs w:val="32"/>
        </w:rPr>
        <w:t>产业人才标准，进入名录库的产业人才，实施相应奖励政策。</w:t>
      </w:r>
    </w:p>
    <w:p>
      <w:pPr>
        <w:pStyle w:val="3"/>
        <w:spacing w:before="0" w:after="0" w:line="560" w:lineRule="exact"/>
        <w:ind w:firstLine="640" w:firstLineChars="200"/>
        <w:rPr>
          <w:rFonts w:ascii="宋体" w:hAnsi="宋体" w:eastAsia="宋体" w:cs="宋体"/>
          <w:color w:val="auto"/>
        </w:rPr>
      </w:pPr>
      <w:bookmarkStart w:id="258" w:name="_Toc79870492"/>
      <w:bookmarkStart w:id="259" w:name="_Toc31392"/>
      <w:bookmarkStart w:id="260" w:name="_Toc18624"/>
      <w:bookmarkStart w:id="261" w:name="_Toc29153"/>
      <w:bookmarkStart w:id="262" w:name="_Toc3747"/>
      <w:r>
        <w:rPr>
          <w:rFonts w:hint="eastAsia" w:ascii="黑体" w:hAnsi="黑体" w:eastAsia="黑体" w:cs="黑体"/>
          <w:b w:val="0"/>
          <w:bCs w:val="0"/>
          <w:color w:val="auto"/>
        </w:rPr>
        <w:t>四、体育文化品牌化发展</w:t>
      </w:r>
      <w:bookmarkEnd w:id="250"/>
      <w:bookmarkEnd w:id="251"/>
      <w:bookmarkEnd w:id="252"/>
      <w:bookmarkEnd w:id="253"/>
      <w:bookmarkEnd w:id="258"/>
      <w:bookmarkEnd w:id="259"/>
      <w:bookmarkEnd w:id="260"/>
      <w:bookmarkEnd w:id="261"/>
      <w:bookmarkEnd w:id="262"/>
    </w:p>
    <w:p>
      <w:pPr>
        <w:pStyle w:val="4"/>
        <w:spacing w:before="0" w:after="0" w:line="560" w:lineRule="exact"/>
        <w:ind w:firstLine="642" w:firstLineChars="200"/>
        <w:rPr>
          <w:rFonts w:ascii="宋体" w:hAnsi="宋体" w:cs="宋体"/>
          <w:bCs w:val="0"/>
          <w:color w:val="auto"/>
        </w:rPr>
      </w:pPr>
      <w:bookmarkStart w:id="263" w:name="_Toc3488"/>
      <w:bookmarkStart w:id="264" w:name="_Toc3704"/>
      <w:bookmarkStart w:id="265" w:name="_Toc10483"/>
      <w:bookmarkStart w:id="266" w:name="_Toc25252"/>
      <w:bookmarkStart w:id="267" w:name="_Toc28359"/>
      <w:bookmarkStart w:id="268" w:name="_Toc20584"/>
      <w:bookmarkStart w:id="269" w:name="_Toc79870493"/>
      <w:bookmarkStart w:id="270" w:name="_Toc23526"/>
      <w:bookmarkStart w:id="271" w:name="_Toc242"/>
      <w:r>
        <w:rPr>
          <w:rFonts w:hint="eastAsia" w:ascii="楷体" w:hAnsi="楷体" w:eastAsia="楷体" w:cs="楷体"/>
          <w:bCs w:val="0"/>
          <w:color w:val="auto"/>
        </w:rPr>
        <w:t>（十六）挖掘城市体育文化</w:t>
      </w:r>
      <w:bookmarkEnd w:id="263"/>
      <w:bookmarkEnd w:id="264"/>
      <w:bookmarkEnd w:id="265"/>
      <w:bookmarkEnd w:id="266"/>
      <w:bookmarkEnd w:id="267"/>
      <w:bookmarkEnd w:id="268"/>
      <w:bookmarkEnd w:id="269"/>
      <w:bookmarkEnd w:id="270"/>
      <w:bookmarkEnd w:id="271"/>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theme="minorBidi"/>
          <w:b w:val="0"/>
          <w:bCs w:val="0"/>
          <w:color w:val="auto"/>
          <w:sz w:val="32"/>
          <w:szCs w:val="32"/>
        </w:rPr>
        <w:t>繁荣发展城市体育文化。</w:t>
      </w:r>
      <w:r>
        <w:rPr>
          <w:rFonts w:hint="eastAsia" w:ascii="仿宋" w:hAnsi="仿宋" w:eastAsia="仿宋" w:cstheme="minorBidi"/>
          <w:bCs/>
          <w:color w:val="auto"/>
          <w:sz w:val="32"/>
          <w:szCs w:val="32"/>
        </w:rPr>
        <w:t>推进“太极城”文化。以“世界太极城、中国养生地”为战略目标，全面推进体育文化融入“</w:t>
      </w:r>
      <w:r>
        <w:rPr>
          <w:rFonts w:hint="eastAsia" w:ascii="仿宋" w:hAnsi="仿宋" w:eastAsia="仿宋" w:cstheme="minorBidi"/>
          <w:bCs/>
          <w:color w:val="auto"/>
          <w:sz w:val="32"/>
          <w:szCs w:val="32"/>
        </w:rPr>
        <w:t>一带一路”战略，利用太极拳全球影响力，开展国际、国内交流活动，加大太极拳文化传播力度，推进“世界太极城、中国养生地”影响力拓展全球。继续</w:t>
      </w:r>
      <w:r>
        <w:rPr>
          <w:rFonts w:hint="eastAsia" w:ascii="仿宋" w:hAnsi="仿宋" w:eastAsia="仿宋" w:cstheme="minorBidi"/>
          <w:bCs/>
          <w:color w:val="auto"/>
          <w:sz w:val="32"/>
          <w:szCs w:val="32"/>
        </w:rPr>
        <w:t>丰富《太极展示馆》内涵，</w:t>
      </w:r>
      <w:r>
        <w:rPr>
          <w:rFonts w:hint="eastAsia" w:ascii="仿宋" w:hAnsi="仿宋" w:eastAsia="仿宋" w:cstheme="minorBidi"/>
          <w:bCs/>
          <w:color w:val="auto"/>
          <w:sz w:val="32"/>
          <w:szCs w:val="32"/>
        </w:rPr>
        <w:t>利用VR、AI等技术增强互动性、体验性，吸引更多年轻群体进馆学习太极文化。深化“篮球城”文化。建立篮球文化展示馆，收集焦作籍篮球明星、焦作篮球文化节等相关资料、物料，做好篮球文化展示，进一步办好焦作篮球文化节，提升篮球在焦作的影响力。做强“冠军城”文化。挖掘和整理焦作籍奥运冠军、世界冠军、全国冠军相关信息、视频资料，进行集中陈列和呈现，定期邀请体育冠军回乡参与相关活动，加大媒体宣传力度，加深冠军城的文化厚度。</w:t>
      </w:r>
    </w:p>
    <w:p>
      <w:pPr>
        <w:pStyle w:val="4"/>
        <w:spacing w:before="0" w:after="0" w:line="560" w:lineRule="exact"/>
        <w:ind w:firstLine="642" w:firstLineChars="200"/>
        <w:rPr>
          <w:rFonts w:ascii="楷体" w:hAnsi="楷体" w:eastAsia="楷体" w:cs="楷体"/>
          <w:bCs w:val="0"/>
          <w:color w:val="auto"/>
        </w:rPr>
      </w:pPr>
      <w:bookmarkStart w:id="272" w:name="_Toc7706"/>
      <w:bookmarkStart w:id="273" w:name="_Toc23474"/>
      <w:bookmarkStart w:id="274" w:name="_Toc32185"/>
      <w:bookmarkStart w:id="275" w:name="_Toc3506"/>
      <w:bookmarkStart w:id="276" w:name="_Toc11244"/>
      <w:bookmarkStart w:id="277" w:name="_Toc79870494"/>
      <w:bookmarkStart w:id="278" w:name="_Toc18682"/>
      <w:bookmarkStart w:id="279" w:name="_Toc1223"/>
      <w:bookmarkStart w:id="280" w:name="_Toc21812"/>
      <w:r>
        <w:rPr>
          <w:rFonts w:hint="eastAsia" w:ascii="楷体" w:hAnsi="楷体" w:eastAsia="楷体" w:cs="楷体"/>
          <w:bCs w:val="0"/>
          <w:color w:val="auto"/>
        </w:rPr>
        <w:t>（十七）推广运动项目文化</w:t>
      </w:r>
      <w:bookmarkEnd w:id="272"/>
      <w:bookmarkEnd w:id="273"/>
      <w:bookmarkEnd w:id="274"/>
      <w:bookmarkEnd w:id="275"/>
      <w:bookmarkEnd w:id="276"/>
      <w:bookmarkEnd w:id="277"/>
      <w:bookmarkEnd w:id="278"/>
      <w:bookmarkEnd w:id="279"/>
      <w:bookmarkEnd w:id="28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丰富完善《体育展示馆》《太极展示馆》内涵，</w:t>
      </w:r>
      <w:r>
        <w:rPr>
          <w:rFonts w:ascii="仿宋" w:hAnsi="仿宋" w:eastAsia="仿宋" w:cs="仿宋_GB2312"/>
          <w:color w:val="auto"/>
          <w:sz w:val="32"/>
          <w:szCs w:val="32"/>
        </w:rPr>
        <w:t>加强对各运动项目发展历史沿革、项目礼仪、项目荣耀的挖掘和整理，梳理运动项目文化发展史，</w:t>
      </w:r>
      <w:r>
        <w:rPr>
          <w:rFonts w:hint="eastAsia" w:ascii="仿宋" w:hAnsi="仿宋" w:eastAsia="仿宋" w:cs="仿宋_GB2312"/>
          <w:color w:val="auto"/>
          <w:sz w:val="32"/>
          <w:szCs w:val="32"/>
        </w:rPr>
        <w:t>进一步</w:t>
      </w:r>
      <w:r>
        <w:rPr>
          <w:rFonts w:ascii="仿宋" w:hAnsi="仿宋" w:eastAsia="仿宋" w:cs="仿宋_GB2312"/>
          <w:color w:val="auto"/>
          <w:sz w:val="32"/>
          <w:szCs w:val="32"/>
        </w:rPr>
        <w:t>挖掘文化内涵，提炼独特的精神实质，为各运动项目赋予更多文化内容；树立优秀运动员和教练员典型，发挥体育明星的正能量，使其成为社会榜样；广泛开展</w:t>
      </w:r>
      <w:r>
        <w:rPr>
          <w:rFonts w:hint="eastAsia" w:ascii="仿宋" w:hAnsi="仿宋" w:eastAsia="仿宋" w:cs="仿宋_GB2312"/>
          <w:color w:val="auto"/>
          <w:sz w:val="32"/>
          <w:szCs w:val="32"/>
        </w:rPr>
        <w:t>奥运冠军、世界</w:t>
      </w:r>
      <w:r>
        <w:rPr>
          <w:rFonts w:ascii="仿宋" w:hAnsi="仿宋" w:eastAsia="仿宋" w:cs="仿宋_GB2312"/>
          <w:color w:val="auto"/>
          <w:sz w:val="32"/>
          <w:szCs w:val="32"/>
        </w:rPr>
        <w:t>冠军、体育明星等志愿服务活动，积极传播中华体育精神和奥林匹克精神；主动开展针对青少年的运动项目文化教育和推广工作，扩大运动项目文化在青少年中的影响力。</w:t>
      </w:r>
      <w:bookmarkStart w:id="281" w:name="_Toc21503"/>
      <w:bookmarkStart w:id="282" w:name="_Toc30627"/>
      <w:bookmarkStart w:id="283" w:name="_Toc7668"/>
      <w:bookmarkStart w:id="284" w:name="_Toc10965"/>
      <w:bookmarkStart w:id="285" w:name="_Toc8833"/>
      <w:bookmarkStart w:id="286" w:name="_Toc24347"/>
      <w:bookmarkStart w:id="287" w:name="_Toc23295"/>
      <w:bookmarkStart w:id="288" w:name="_Toc79870495"/>
      <w:bookmarkStart w:id="289" w:name="_Toc14027"/>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加强体育文化传播</w:t>
      </w:r>
      <w:bookmarkEnd w:id="281"/>
      <w:bookmarkEnd w:id="282"/>
      <w:bookmarkEnd w:id="283"/>
      <w:bookmarkEnd w:id="284"/>
      <w:bookmarkEnd w:id="285"/>
      <w:bookmarkEnd w:id="286"/>
      <w:bookmarkEnd w:id="287"/>
      <w:bookmarkEnd w:id="288"/>
      <w:bookmarkEnd w:id="28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stheme="minorBidi"/>
          <w:bCs/>
          <w:color w:val="auto"/>
          <w:sz w:val="32"/>
          <w:szCs w:val="32"/>
        </w:rPr>
        <w:t>拓宽体育文化宣传渠道，通过政府购买服务等形式，加强与具有一定影响力的媒体合作，大力宣传焦作体育事业发展情况。发展多元体育文化载体，邀请本地体育明星拍摄体育公益广告、体育电影等。坚持重心下沉，加强与本土自媒体网络明星合作，宣传家乡体育文化。鼓励体育社团、体育企业为百姓提供免费的体育知识讲解、运动项目体验等服务。</w:t>
      </w:r>
    </w:p>
    <w:p>
      <w:pPr>
        <w:pStyle w:val="3"/>
        <w:numPr>
          <w:ilvl w:val="0"/>
          <w:numId w:val="2"/>
        </w:numPr>
        <w:spacing w:before="0" w:after="0" w:line="560" w:lineRule="exact"/>
        <w:ind w:firstLine="642" w:firstLineChars="200"/>
        <w:rPr>
          <w:rFonts w:ascii="黑体" w:hAnsi="黑体" w:eastAsia="黑体" w:cs="黑体"/>
          <w:color w:val="auto"/>
        </w:rPr>
      </w:pPr>
      <w:bookmarkStart w:id="290" w:name="_Toc1168"/>
      <w:bookmarkStart w:id="291" w:name="_Toc15897"/>
      <w:bookmarkStart w:id="292" w:name="_Toc16352"/>
      <w:bookmarkStart w:id="293" w:name="_Toc20123"/>
      <w:bookmarkStart w:id="294" w:name="_Toc3714"/>
      <w:bookmarkStart w:id="295" w:name="_Toc79870496"/>
      <w:bookmarkStart w:id="296" w:name="_Toc24292"/>
      <w:bookmarkStart w:id="297" w:name="_Toc22247"/>
      <w:bookmarkStart w:id="298" w:name="_Toc29654"/>
      <w:r>
        <w:rPr>
          <w:rFonts w:hint="eastAsia" w:ascii="黑体" w:hAnsi="黑体" w:eastAsia="黑体" w:cs="黑体"/>
          <w:color w:val="auto"/>
        </w:rPr>
        <w:t>体育改革纵深化发展</w:t>
      </w:r>
      <w:bookmarkEnd w:id="290"/>
      <w:bookmarkEnd w:id="291"/>
      <w:bookmarkEnd w:id="292"/>
      <w:bookmarkEnd w:id="293"/>
      <w:bookmarkEnd w:id="294"/>
      <w:bookmarkEnd w:id="295"/>
      <w:bookmarkEnd w:id="296"/>
      <w:bookmarkEnd w:id="297"/>
      <w:bookmarkEnd w:id="298"/>
    </w:p>
    <w:p>
      <w:pPr>
        <w:pStyle w:val="4"/>
        <w:spacing w:before="0" w:after="0" w:line="560" w:lineRule="exact"/>
        <w:ind w:firstLine="642" w:firstLineChars="200"/>
        <w:rPr>
          <w:rFonts w:ascii="宋体" w:hAnsi="宋体" w:cs="宋体"/>
          <w:bCs w:val="0"/>
          <w:color w:val="auto"/>
        </w:rPr>
      </w:pPr>
      <w:bookmarkStart w:id="299" w:name="_Toc20998"/>
      <w:bookmarkStart w:id="300" w:name="_Toc5057"/>
      <w:bookmarkStart w:id="301" w:name="_Toc18232"/>
      <w:bookmarkStart w:id="302" w:name="_Toc7769"/>
      <w:bookmarkStart w:id="303" w:name="_Toc24491"/>
      <w:bookmarkStart w:id="304" w:name="_Toc19074"/>
      <w:bookmarkStart w:id="305" w:name="_Toc2804"/>
      <w:bookmarkStart w:id="306" w:name="_Toc79870497"/>
      <w:bookmarkStart w:id="307" w:name="_Toc25024"/>
      <w:r>
        <w:rPr>
          <w:rFonts w:hint="eastAsia" w:ascii="楷体" w:hAnsi="楷体" w:eastAsia="楷体" w:cs="楷体"/>
          <w:bCs w:val="0"/>
          <w:color w:val="auto"/>
        </w:rPr>
        <w:t>（十九）创新场馆经营</w:t>
      </w:r>
      <w:bookmarkEnd w:id="299"/>
      <w:bookmarkEnd w:id="300"/>
      <w:bookmarkEnd w:id="301"/>
      <w:bookmarkEnd w:id="302"/>
      <w:bookmarkEnd w:id="303"/>
      <w:bookmarkEnd w:id="304"/>
      <w:bookmarkEnd w:id="305"/>
      <w:bookmarkEnd w:id="306"/>
      <w:bookmarkEnd w:id="307"/>
    </w:p>
    <w:p>
      <w:pPr>
        <w:widowControl/>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推进大型公共体育场馆所有权和经营权分离，引入现代企业制度，鼓励和推动社会力量通过独资、与国有资本共同参股等形式，参与包括学校场馆在内的各类国有场馆建设与运营，利用市场力量盘活全市场馆资源，降低场馆空置率，激发场馆活力。完善政府购买体育场馆公益性服务的机制和标准，制定公共体育场馆设施免费或低收费开放政策，健全场馆公益性开放评估体系，推动公共场馆更好为广大人民群众服务。持续推进企事业单位、学校体育场馆开放工作，鼓励社会力量参与体育场馆运营，提供适当补贴。</w:t>
      </w:r>
    </w:p>
    <w:tbl>
      <w:tblPr>
        <w:tblStyle w:val="22"/>
        <w:tblpPr w:leftFromText="180" w:rightFromText="180" w:vertAnchor="text" w:horzAnchor="page" w:tblpX="1791"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481" w:firstLineChars="200"/>
              <w:jc w:val="center"/>
              <w:rPr>
                <w:rFonts w:asciiTheme="minorEastAsia" w:hAnsiTheme="minorEastAsia"/>
                <w:b/>
                <w:color w:val="auto"/>
                <w:sz w:val="24"/>
                <w:szCs w:val="24"/>
              </w:rPr>
            </w:pPr>
            <w:r>
              <w:rPr>
                <w:rFonts w:hint="eastAsia" w:ascii="宋体" w:hAnsi="宋体" w:cs="宋体"/>
                <w:b/>
                <w:color w:val="auto"/>
                <w:sz w:val="24"/>
                <w:szCs w:val="24"/>
              </w:rPr>
              <w:t>专栏7 公共体育场馆市场化运营计划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1.推进焦作太极体育中心与郑州奥体中心协同发展，吸引社会力量进驻，承接大型赛事，推进体育场馆市场化运营。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2.整合全市公共体育场馆资源，引进知名体育场馆运营企业，推进全市公共体育场馆专业化、市场化运营。</w:t>
            </w:r>
          </w:p>
        </w:tc>
      </w:tr>
    </w:tbl>
    <w:p>
      <w:pPr>
        <w:pStyle w:val="4"/>
        <w:spacing w:before="0" w:after="0" w:line="560" w:lineRule="exact"/>
        <w:ind w:firstLine="642" w:firstLineChars="200"/>
        <w:rPr>
          <w:rFonts w:ascii="楷体" w:hAnsi="楷体" w:eastAsia="楷体" w:cs="楷体"/>
          <w:bCs w:val="0"/>
          <w:color w:val="auto"/>
        </w:rPr>
      </w:pPr>
      <w:bookmarkStart w:id="308" w:name="_Toc24972"/>
      <w:bookmarkStart w:id="309" w:name="_Toc8889"/>
      <w:bookmarkStart w:id="310" w:name="_Toc25443"/>
      <w:bookmarkStart w:id="311" w:name="_Toc17499"/>
      <w:bookmarkStart w:id="312" w:name="_Toc21578"/>
      <w:bookmarkStart w:id="313" w:name="_Toc79870498"/>
      <w:bookmarkStart w:id="314" w:name="_Toc9284"/>
      <w:bookmarkStart w:id="315" w:name="_Toc24841"/>
      <w:bookmarkStart w:id="316" w:name="_Toc3745"/>
      <w:r>
        <w:rPr>
          <w:rFonts w:hint="eastAsia" w:ascii="楷体" w:hAnsi="楷体" w:eastAsia="楷体" w:cs="楷体"/>
          <w:bCs w:val="0"/>
          <w:color w:val="auto"/>
        </w:rPr>
        <w:t>（二十）完善竞赛体系</w:t>
      </w:r>
      <w:bookmarkEnd w:id="308"/>
      <w:bookmarkEnd w:id="309"/>
      <w:bookmarkEnd w:id="310"/>
      <w:bookmarkEnd w:id="311"/>
      <w:bookmarkEnd w:id="312"/>
      <w:bookmarkEnd w:id="313"/>
      <w:bookmarkEnd w:id="314"/>
      <w:bookmarkEnd w:id="315"/>
      <w:bookmarkEnd w:id="316"/>
    </w:p>
    <w:p>
      <w:pPr>
        <w:spacing w:line="560" w:lineRule="exact"/>
        <w:ind w:firstLine="640" w:firstLineChars="200"/>
        <w:rPr>
          <w:rFonts w:ascii="宋体" w:hAnsi="宋体" w:cs="宋体"/>
          <w:color w:val="auto"/>
        </w:rPr>
      </w:pPr>
      <w:r>
        <w:rPr>
          <w:rFonts w:hint="eastAsia" w:ascii="仿宋" w:hAnsi="仿宋" w:eastAsia="仿宋" w:cstheme="minorBidi"/>
          <w:bCs/>
          <w:color w:val="auto"/>
          <w:sz w:val="32"/>
          <w:szCs w:val="32"/>
        </w:rPr>
        <w:t>积极出台相关政策，引导体育竞赛向社会化发展，鼓励社会力量办赛，建立市、县（市、区）、乡镇等多层次体育赛事活动体系和行业、企业等多种资本投入的运营模式。推进综合性赛事和单项赛事管理制度改革，公开赛事举办目录，明确交通、安保、转播、通信、水电等部门在赛事中的职责，建立体育赛事活动举办保障机制。搭建政府支持举办体育赛事的公共服务平台，促进多方主体协同发展。</w:t>
      </w:r>
    </w:p>
    <w:p>
      <w:pPr>
        <w:pStyle w:val="4"/>
        <w:spacing w:before="0" w:after="0" w:line="560" w:lineRule="exact"/>
        <w:ind w:firstLine="642" w:firstLineChars="200"/>
        <w:rPr>
          <w:rFonts w:ascii="宋体" w:hAnsi="宋体" w:cs="宋体"/>
          <w:bCs w:val="0"/>
          <w:color w:val="auto"/>
        </w:rPr>
      </w:pPr>
      <w:bookmarkStart w:id="317" w:name="_Toc24015"/>
      <w:bookmarkStart w:id="318" w:name="_Toc26116"/>
      <w:bookmarkStart w:id="319" w:name="_Toc8400"/>
      <w:bookmarkStart w:id="320" w:name="_Toc4984"/>
      <w:bookmarkStart w:id="321" w:name="_Toc7375"/>
      <w:bookmarkStart w:id="322" w:name="_Toc79870499"/>
      <w:bookmarkStart w:id="323" w:name="_Toc10074"/>
      <w:bookmarkStart w:id="324" w:name="_Toc10886"/>
      <w:bookmarkStart w:id="325" w:name="_Toc7046"/>
      <w:r>
        <w:rPr>
          <w:rFonts w:hint="eastAsia" w:ascii="楷体" w:hAnsi="楷体" w:eastAsia="楷体" w:cs="楷体"/>
          <w:bCs w:val="0"/>
          <w:color w:val="auto"/>
        </w:rPr>
        <w:t>（二十一）改革体育组织</w:t>
      </w:r>
      <w:bookmarkEnd w:id="317"/>
      <w:bookmarkEnd w:id="318"/>
      <w:bookmarkEnd w:id="319"/>
      <w:bookmarkEnd w:id="320"/>
      <w:bookmarkEnd w:id="321"/>
      <w:bookmarkEnd w:id="322"/>
      <w:bookmarkEnd w:id="323"/>
      <w:bookmarkEnd w:id="324"/>
      <w:bookmarkEnd w:id="325"/>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全面推进体育社会组织改革，深化政社分开，创新培育、引导、建设机制，降低设立准入门槛，落实资金扶持、政府采购服务等扶持政策，不断规范体育社团管理制度，建立社团优胜劣汰、竞争退出机制，增强协会自身造血功能，逐步推进规范化、社会化、实体化建设，激发体育社会组织发展活力。</w:t>
      </w:r>
    </w:p>
    <w:p>
      <w:pPr>
        <w:pStyle w:val="4"/>
        <w:spacing w:before="0" w:after="0" w:line="560" w:lineRule="exact"/>
        <w:ind w:firstLine="642" w:firstLineChars="200"/>
        <w:rPr>
          <w:rFonts w:ascii="楷体" w:hAnsi="楷体" w:eastAsia="楷体" w:cs="楷体"/>
          <w:bCs w:val="0"/>
          <w:color w:val="auto"/>
        </w:rPr>
      </w:pPr>
      <w:bookmarkStart w:id="326" w:name="_Toc79870500"/>
      <w:r>
        <w:rPr>
          <w:rFonts w:hint="eastAsia" w:ascii="楷体" w:hAnsi="楷体" w:eastAsia="楷体" w:cs="楷体"/>
          <w:bCs w:val="0"/>
          <w:color w:val="auto"/>
        </w:rPr>
        <w:t>（二十二）建立行业规范</w:t>
      </w:r>
      <w:bookmarkEnd w:id="326"/>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建立体育行业规范体系，积极推进体育行业标准化发展。规范太极拳行业发展，建立太极拳行业发展规范；规范体育场馆发展，出台焦作市大型公共体育场馆管理办法及收费标准；规范体育竞赛表演发展，建立焦作市体育竞赛管理办法，对各项赛事进行明确的分级、分类管理；完善体育协会、俱乐部管理办法；规范体育市场主体行为，对体育市场进行监督和管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481" w:firstLineChars="200"/>
              <w:jc w:val="center"/>
              <w:rPr>
                <w:rFonts w:asciiTheme="minorEastAsia" w:hAnsiTheme="minorEastAsia"/>
                <w:b/>
                <w:color w:val="auto"/>
                <w:sz w:val="24"/>
                <w:szCs w:val="24"/>
              </w:rPr>
            </w:pPr>
            <w:r>
              <w:rPr>
                <w:rFonts w:hint="eastAsia" w:ascii="宋体" w:hAnsi="宋体" w:cs="宋体"/>
                <w:b/>
                <w:color w:val="auto"/>
                <w:sz w:val="24"/>
                <w:szCs w:val="24"/>
              </w:rPr>
              <w:t>专栏8 体育标准化建立计划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1.制定焦作市体育竞赛和活动管理办法。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制定体育组织管理办法，包括体育协会、体育俱乐部等。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制定公共体育场馆设施管理办法，明确免费低收费开放收费标准、开放时段，建立场馆设施维修维护制度等。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4.制定社会力量参与公共场馆运营管理办法，明确企业经营责权。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制定太极拳行业规范，对拳师资质、行为规范、武德、收费标准等进行明确规定。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制定体育培训行业规范，对课程标准及教练员资质进行明确规定。</w:t>
            </w:r>
          </w:p>
        </w:tc>
      </w:tr>
    </w:tbl>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theme="minorBidi"/>
          <w:color w:val="auto"/>
          <w:sz w:val="32"/>
          <w:szCs w:val="32"/>
        </w:rPr>
      </w:pPr>
      <w:bookmarkStart w:id="327" w:name="_Toc5115"/>
      <w:bookmarkStart w:id="328" w:name="_Toc21601"/>
      <w:bookmarkStart w:id="329" w:name="_Toc4334"/>
      <w:bookmarkStart w:id="330" w:name="_Toc22143"/>
      <w:bookmarkStart w:id="331" w:name="_Toc22441"/>
      <w:bookmarkStart w:id="332" w:name="_Toc650"/>
      <w:bookmarkStart w:id="333" w:name="_Toc29924"/>
      <w:bookmarkStart w:id="334" w:name="_Toc4610"/>
      <w:bookmarkStart w:id="335" w:name="_Toc29368"/>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ascii="宋体" w:hAnsi="宋体" w:cs="宋体"/>
          <w:color w:val="auto"/>
        </w:rPr>
      </w:pPr>
      <w:bookmarkStart w:id="336" w:name="_Toc79870501"/>
      <w:r>
        <w:rPr>
          <w:rFonts w:hint="eastAsia" w:ascii="宋体" w:hAnsi="宋体" w:cs="宋体"/>
          <w:color w:val="auto"/>
        </w:rPr>
        <w:t>第四章 保障措施</w:t>
      </w:r>
      <w:bookmarkEnd w:id="327"/>
      <w:bookmarkEnd w:id="328"/>
      <w:bookmarkEnd w:id="329"/>
      <w:bookmarkEnd w:id="330"/>
      <w:bookmarkEnd w:id="331"/>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560" w:lineRule="exact"/>
        <w:textAlignment w:val="auto"/>
        <w:rPr>
          <w:rFonts w:asciiTheme="majorHAnsi" w:hAnsiTheme="majorHAnsi" w:eastAsiaTheme="majorEastAsia" w:cstheme="majorBidi"/>
          <w:color w:val="auto"/>
        </w:rPr>
      </w:pPr>
      <w:bookmarkStart w:id="337" w:name="_Toc30623"/>
      <w:bookmarkStart w:id="338" w:name="_Toc17447"/>
      <w:bookmarkStart w:id="339" w:name="_Toc3445"/>
      <w:bookmarkStart w:id="340" w:name="_Toc29498"/>
      <w:bookmarkStart w:id="341" w:name="_Toc11565"/>
      <w:bookmarkStart w:id="342" w:name="_Toc14606"/>
      <w:bookmarkStart w:id="343" w:name="_Toc18810"/>
      <w:bookmarkStart w:id="344" w:name="_Toc1381912361"/>
      <w:bookmarkStart w:id="345" w:name="_Toc990"/>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cs="黑体"/>
          <w:b w:val="0"/>
          <w:bCs w:val="0"/>
          <w:color w:val="auto"/>
        </w:rPr>
      </w:pPr>
      <w:bookmarkStart w:id="346" w:name="_Toc79870502"/>
      <w:r>
        <w:rPr>
          <w:rFonts w:hint="eastAsia" w:ascii="黑体" w:hAnsi="黑体" w:eastAsia="黑体" w:cs="黑体"/>
          <w:b w:val="0"/>
          <w:bCs w:val="0"/>
          <w:color w:val="auto"/>
        </w:rPr>
        <w:t>一、组织保障</w:t>
      </w:r>
      <w:bookmarkEnd w:id="337"/>
      <w:bookmarkEnd w:id="338"/>
      <w:bookmarkEnd w:id="339"/>
      <w:bookmarkEnd w:id="340"/>
      <w:bookmarkEnd w:id="341"/>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 w:hAnsi="仿宋" w:eastAsia="仿宋" w:cstheme="minorBidi"/>
          <w:bCs/>
          <w:color w:val="auto"/>
          <w:sz w:val="32"/>
          <w:szCs w:val="32"/>
        </w:rPr>
        <w:t>加强体育工作的组织领导。继续发挥全民健身联席会议制度的积极作用，促进资源共享，协同提升公共服务水平，统筹推动体育事业发展。加强协会、社团、职业体育俱乐部等各类体育社会组织建设，提升行业自律和管理能力；不断加大体育工作宣传力度，创新宣传方式，增强决策者的体育发展意识、广大人民群众的体育健身意识及体育消费意识，为体育健康发展营造良好舆论氛围。</w:t>
      </w:r>
    </w:p>
    <w:p>
      <w:pPr>
        <w:pStyle w:val="3"/>
        <w:spacing w:before="0" w:after="0" w:line="560" w:lineRule="exact"/>
        <w:ind w:firstLine="640" w:firstLineChars="200"/>
        <w:rPr>
          <w:rFonts w:ascii="黑体" w:hAnsi="黑体" w:eastAsia="黑体" w:cs="黑体"/>
          <w:b w:val="0"/>
          <w:bCs w:val="0"/>
          <w:color w:val="auto"/>
        </w:rPr>
      </w:pPr>
      <w:bookmarkStart w:id="347" w:name="_Toc7705"/>
      <w:bookmarkStart w:id="348" w:name="_Toc9574"/>
      <w:bookmarkStart w:id="349" w:name="_Toc25966"/>
      <w:bookmarkStart w:id="350" w:name="_Toc79870503"/>
      <w:bookmarkStart w:id="351" w:name="_Toc26412"/>
      <w:bookmarkStart w:id="352" w:name="_Toc14845"/>
      <w:bookmarkStart w:id="353" w:name="_Toc12929"/>
      <w:bookmarkStart w:id="354" w:name="_Toc15402"/>
      <w:bookmarkStart w:id="355" w:name="_Toc802387224"/>
      <w:bookmarkStart w:id="356" w:name="_Toc10529"/>
      <w:r>
        <w:rPr>
          <w:rFonts w:hint="eastAsia" w:ascii="黑体" w:hAnsi="黑体" w:eastAsia="黑体" w:cs="黑体"/>
          <w:b w:val="0"/>
          <w:bCs w:val="0"/>
          <w:color w:val="auto"/>
        </w:rPr>
        <w:t>二、政策保障</w:t>
      </w:r>
      <w:bookmarkEnd w:id="347"/>
      <w:bookmarkEnd w:id="348"/>
      <w:bookmarkEnd w:id="349"/>
      <w:bookmarkEnd w:id="350"/>
      <w:bookmarkEnd w:id="351"/>
      <w:bookmarkEnd w:id="352"/>
      <w:bookmarkEnd w:id="353"/>
      <w:bookmarkEnd w:id="354"/>
      <w:bookmarkEnd w:id="355"/>
      <w:bookmarkEnd w:id="356"/>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落实现行国家、省支持体育发展的各项优惠政策，加强与政府各部门协调，在人才引进、设施建设、体育投资等各方面制定优惠政策。体育场馆自用的房产和土地，享受有关房产税和城镇土地使用税优惠，体育、健身等场所的水、电、气、暖价格，按不高于一般工业标准执行。</w:t>
      </w:r>
    </w:p>
    <w:p>
      <w:pPr>
        <w:pStyle w:val="3"/>
        <w:spacing w:before="0" w:after="0" w:line="560" w:lineRule="exact"/>
        <w:ind w:firstLine="640" w:firstLineChars="200"/>
        <w:rPr>
          <w:rFonts w:ascii="黑体" w:hAnsi="黑体" w:eastAsia="黑体" w:cs="黑体"/>
          <w:b w:val="0"/>
          <w:bCs w:val="0"/>
          <w:color w:val="auto"/>
        </w:rPr>
      </w:pPr>
      <w:bookmarkStart w:id="357" w:name="_Toc430152872"/>
      <w:bookmarkEnd w:id="357"/>
      <w:bookmarkStart w:id="358" w:name="_Toc15306"/>
      <w:bookmarkStart w:id="359" w:name="_Toc7239"/>
      <w:bookmarkStart w:id="360" w:name="_Toc17973"/>
      <w:bookmarkStart w:id="361" w:name="_Toc7136"/>
      <w:bookmarkStart w:id="362" w:name="_Toc79870504"/>
      <w:bookmarkStart w:id="363" w:name="_Toc6047"/>
      <w:bookmarkStart w:id="364" w:name="_Toc24481"/>
      <w:bookmarkStart w:id="365" w:name="_Toc18917"/>
      <w:bookmarkStart w:id="366" w:name="_Toc28784"/>
      <w:bookmarkStart w:id="367" w:name="_Toc1672254255"/>
      <w:r>
        <w:rPr>
          <w:rFonts w:hint="eastAsia" w:ascii="黑体" w:hAnsi="黑体" w:eastAsia="黑体" w:cs="黑体"/>
          <w:b w:val="0"/>
          <w:bCs w:val="0"/>
          <w:color w:val="auto"/>
        </w:rPr>
        <w:t>三、资金保障</w:t>
      </w:r>
      <w:bookmarkEnd w:id="358"/>
      <w:bookmarkEnd w:id="359"/>
      <w:bookmarkEnd w:id="360"/>
      <w:bookmarkEnd w:id="361"/>
      <w:bookmarkEnd w:id="362"/>
      <w:bookmarkEnd w:id="363"/>
      <w:bookmarkEnd w:id="364"/>
      <w:bookmarkEnd w:id="365"/>
      <w:bookmarkEnd w:id="366"/>
      <w:bookmarkEnd w:id="367"/>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加大政府对公共体育场地和设施建设的投入力度，鼓励和支持社会资本、民间组织、民营企业、个体工商户等多种力量投资体育领域，不断推进社会力量办体育的深度和广度，增强体育发展的后劲与活力。积极推广政府和社会资本合作（PPP）模式，鼓励社会资本参与体育场馆建设与运营。鼓励通过赛事举办权、赛事转播权、运动员转会权等无形资产开发，盘活体育资源，发展体育产业。</w:t>
      </w:r>
    </w:p>
    <w:p>
      <w:pPr>
        <w:pStyle w:val="3"/>
        <w:spacing w:before="0" w:after="0" w:line="560" w:lineRule="exact"/>
        <w:ind w:firstLine="640" w:firstLineChars="200"/>
        <w:rPr>
          <w:rFonts w:ascii="黑体" w:hAnsi="黑体" w:eastAsia="黑体" w:cs="黑体"/>
          <w:b w:val="0"/>
          <w:bCs w:val="0"/>
          <w:color w:val="auto"/>
        </w:rPr>
      </w:pPr>
      <w:bookmarkStart w:id="368" w:name="_Toc430152873"/>
      <w:bookmarkEnd w:id="368"/>
      <w:bookmarkStart w:id="369" w:name="_Toc6089"/>
      <w:bookmarkStart w:id="370" w:name="_Toc23944"/>
      <w:bookmarkStart w:id="371" w:name="_Toc11085"/>
      <w:bookmarkStart w:id="372" w:name="_Toc79870505"/>
      <w:bookmarkStart w:id="373" w:name="_Toc7415"/>
      <w:bookmarkStart w:id="374" w:name="_Toc5131"/>
      <w:bookmarkStart w:id="375" w:name="_Toc3223"/>
      <w:bookmarkStart w:id="376" w:name="_Toc1566"/>
      <w:bookmarkStart w:id="377" w:name="_Toc1458775496"/>
      <w:bookmarkStart w:id="378" w:name="_Toc3206"/>
      <w:r>
        <w:rPr>
          <w:rFonts w:hint="eastAsia" w:ascii="黑体" w:hAnsi="黑体" w:eastAsia="黑体" w:cs="黑体"/>
          <w:b w:val="0"/>
          <w:bCs w:val="0"/>
          <w:color w:val="auto"/>
        </w:rPr>
        <w:t>四、用地保障</w:t>
      </w:r>
      <w:bookmarkEnd w:id="369"/>
      <w:bookmarkEnd w:id="370"/>
      <w:bookmarkEnd w:id="371"/>
      <w:bookmarkEnd w:id="372"/>
      <w:bookmarkEnd w:id="373"/>
      <w:bookmarkEnd w:id="374"/>
      <w:bookmarkEnd w:id="375"/>
      <w:bookmarkEnd w:id="376"/>
      <w:bookmarkEnd w:id="377"/>
      <w:bookmarkEnd w:id="378"/>
    </w:p>
    <w:p>
      <w:pPr>
        <w:spacing w:line="560" w:lineRule="exact"/>
        <w:ind w:firstLine="640" w:firstLineChars="200"/>
        <w:rPr>
          <w:color w:val="auto"/>
        </w:rPr>
      </w:pPr>
      <w:r>
        <w:rPr>
          <w:rFonts w:hint="eastAsia" w:ascii="仿宋" w:hAnsi="仿宋" w:eastAsia="仿宋"/>
          <w:color w:val="auto"/>
          <w:sz w:val="32"/>
          <w:szCs w:val="32"/>
          <w:u w:val="none"/>
          <w:lang w:eastAsia="zh-CN"/>
        </w:rPr>
        <w:t>把</w:t>
      </w:r>
      <w:r>
        <w:rPr>
          <w:rFonts w:ascii="仿宋" w:hAnsi="仿宋" w:eastAsia="仿宋"/>
          <w:color w:val="auto"/>
          <w:sz w:val="32"/>
          <w:szCs w:val="32"/>
          <w:u w:val="none"/>
        </w:rPr>
        <w:t>体育用地</w:t>
      </w:r>
      <w:r>
        <w:rPr>
          <w:rFonts w:hint="eastAsia" w:ascii="仿宋" w:hAnsi="仿宋" w:eastAsia="仿宋"/>
          <w:color w:val="auto"/>
          <w:sz w:val="32"/>
          <w:szCs w:val="32"/>
          <w:u w:val="none"/>
          <w:lang w:eastAsia="zh-CN"/>
        </w:rPr>
        <w:t>、</w:t>
      </w:r>
      <w:r>
        <w:rPr>
          <w:rFonts w:ascii="仿宋" w:hAnsi="仿宋" w:eastAsia="仿宋"/>
          <w:color w:val="auto"/>
          <w:sz w:val="32"/>
          <w:szCs w:val="32"/>
          <w:u w:val="none"/>
        </w:rPr>
        <w:t>群众体育设施、竞技体育设施和体育场馆</w:t>
      </w:r>
      <w:r>
        <w:rPr>
          <w:rFonts w:hint="eastAsia" w:ascii="仿宋" w:hAnsi="仿宋" w:eastAsia="仿宋"/>
          <w:color w:val="auto"/>
          <w:sz w:val="32"/>
          <w:szCs w:val="32"/>
          <w:u w:val="none"/>
          <w:lang w:eastAsia="zh-CN"/>
        </w:rPr>
        <w:t>建设</w:t>
      </w:r>
      <w:r>
        <w:rPr>
          <w:rFonts w:ascii="仿宋" w:hAnsi="仿宋" w:eastAsia="仿宋"/>
          <w:color w:val="auto"/>
          <w:sz w:val="32"/>
          <w:szCs w:val="32"/>
          <w:u w:val="none"/>
        </w:rPr>
        <w:t>合理</w:t>
      </w:r>
      <w:r>
        <w:rPr>
          <w:rFonts w:hint="eastAsia" w:ascii="仿宋" w:hAnsi="仿宋" w:eastAsia="仿宋"/>
          <w:color w:val="auto"/>
          <w:sz w:val="32"/>
          <w:szCs w:val="32"/>
          <w:u w:val="none"/>
          <w:lang w:eastAsia="zh-CN"/>
        </w:rPr>
        <w:t>纳入在我市</w:t>
      </w:r>
      <w:r>
        <w:rPr>
          <w:rFonts w:hint="eastAsia" w:ascii="仿宋" w:hAnsi="仿宋" w:eastAsia="仿宋"/>
          <w:color w:val="auto"/>
          <w:sz w:val="32"/>
          <w:szCs w:val="32"/>
          <w:u w:val="none"/>
        </w:rPr>
        <w:t>国土空间总体规划</w:t>
      </w:r>
      <w:r>
        <w:rPr>
          <w:rFonts w:hint="eastAsia" w:ascii="仿宋" w:hAnsi="仿宋" w:eastAsia="仿宋"/>
          <w:color w:val="auto"/>
          <w:sz w:val="32"/>
          <w:szCs w:val="32"/>
          <w:u w:val="none"/>
          <w:lang w:eastAsia="zh-CN"/>
        </w:rPr>
        <w:t>。</w:t>
      </w:r>
      <w:r>
        <w:rPr>
          <w:rFonts w:ascii="仿宋" w:hAnsi="仿宋" w:eastAsia="仿宋"/>
          <w:color w:val="auto"/>
          <w:sz w:val="32"/>
          <w:szCs w:val="32"/>
        </w:rPr>
        <w:t>安排住宅区在规划建设时，按照室内人均建筑面积不低于0.1平方米、室外人均用地不低于0.3平方米的标准，事先预留公共体育设施用地。</w:t>
      </w:r>
      <w:r>
        <w:rPr>
          <w:rFonts w:hint="eastAsia" w:ascii="仿宋" w:hAnsi="仿宋" w:eastAsia="仿宋"/>
          <w:color w:val="auto"/>
          <w:sz w:val="32"/>
          <w:szCs w:val="32"/>
        </w:rPr>
        <w:t>人口规模较小的居住区，仅设置室外体育设施活动场地，可结合绿地设置。</w:t>
      </w:r>
    </w:p>
    <w:p>
      <w:pPr>
        <w:spacing w:line="560" w:lineRule="exact"/>
        <w:ind w:firstLine="640" w:firstLineChars="200"/>
        <w:rPr>
          <w:rFonts w:ascii="宋体" w:hAnsi="宋体" w:cs="宋体"/>
          <w:color w:val="auto"/>
        </w:rPr>
      </w:pPr>
      <w:r>
        <w:rPr>
          <w:rFonts w:hint="eastAsia" w:ascii="仿宋" w:hAnsi="仿宋" w:eastAsia="仿宋" w:cstheme="minorBidi"/>
          <w:color w:val="auto"/>
          <w:sz w:val="32"/>
          <w:szCs w:val="32"/>
        </w:rPr>
        <w:t>积极</w:t>
      </w:r>
      <w:r>
        <w:rPr>
          <w:rFonts w:hint="eastAsia" w:ascii="仿宋" w:hAnsi="仿宋" w:eastAsia="仿宋"/>
          <w:color w:val="auto"/>
          <w:sz w:val="32"/>
          <w:szCs w:val="32"/>
        </w:rPr>
        <w:t>挖掘存量建设用地潜力，在不影响相关规划实施及交通、市容、安全等前提下，提供城市空闲土地建设健身设施，并依法按照兼容用途和地方关于临时建设设施的办法进行管理，进一步盘活城市空闲土地。鼓励依法依规利用城市公益性建设用地建设健身设施，并统筹考虑应急避难（险）需要。在不妨碍防洪、供水安全等前提下，依法依规在河道、湖泊、滩涂沿岸建设健身步道等群众健身设施，方便广大群众健身锻炼。鼓励各地区在符合城市规划的前提下，以租赁方式向社会力量提供健身设施土地，租期不超过20年。同时倡导复合用地，支持对健身设施和其他公共服务设施进行功能整合。</w:t>
      </w:r>
      <w:bookmarkStart w:id="379" w:name="_Toc430152874"/>
      <w:bookmarkEnd w:id="379"/>
      <w:bookmarkStart w:id="380" w:name="_Toc18889"/>
      <w:bookmarkStart w:id="381" w:name="_Toc14551"/>
      <w:bookmarkStart w:id="382" w:name="_Toc8381"/>
      <w:bookmarkStart w:id="383" w:name="_Toc24495"/>
      <w:bookmarkStart w:id="384" w:name="_Toc23809"/>
      <w:bookmarkStart w:id="385" w:name="_Toc1838"/>
      <w:bookmarkStart w:id="386" w:name="_Toc1966447120"/>
    </w:p>
    <w:p>
      <w:pPr>
        <w:pStyle w:val="3"/>
        <w:spacing w:before="0" w:after="0" w:line="560" w:lineRule="exact"/>
        <w:ind w:firstLine="640" w:firstLineChars="200"/>
        <w:rPr>
          <w:rFonts w:ascii="黑体" w:hAnsi="黑体" w:eastAsia="黑体" w:cs="黑体"/>
          <w:b w:val="0"/>
          <w:bCs w:val="0"/>
          <w:color w:val="auto"/>
        </w:rPr>
      </w:pPr>
      <w:bookmarkStart w:id="387" w:name="_Toc79870506"/>
      <w:bookmarkStart w:id="388" w:name="_Toc7091"/>
      <w:bookmarkStart w:id="389" w:name="_Toc18511"/>
      <w:r>
        <w:rPr>
          <w:rFonts w:hint="eastAsia" w:ascii="黑体" w:hAnsi="黑体" w:eastAsia="黑体" w:cs="黑体"/>
          <w:b w:val="0"/>
          <w:bCs w:val="0"/>
          <w:color w:val="auto"/>
        </w:rPr>
        <w:t>五、法治保障</w:t>
      </w:r>
      <w:bookmarkEnd w:id="380"/>
      <w:bookmarkEnd w:id="381"/>
      <w:bookmarkEnd w:id="382"/>
      <w:bookmarkEnd w:id="383"/>
      <w:bookmarkEnd w:id="384"/>
      <w:bookmarkEnd w:id="385"/>
      <w:bookmarkEnd w:id="386"/>
      <w:bookmarkEnd w:id="387"/>
      <w:bookmarkEnd w:id="388"/>
      <w:bookmarkEnd w:id="389"/>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牢固树立法治思维，坚持依法治体，把体育工作纳入依法运行轨道，构建与新时代发展相适应的现代体育工作体系和运行机制，提高体育领域依法行政水平；进一步完善体育产业、体育市场和体育竞赛管理等方面的地方性法规、规章制度和行政规范性文件，健全体育法规制度体系，完善地方体育标准，依法对体育市场加强监督管理，引导和规范体育市场行为，营造公开、公平、公正的体育市场环境。</w:t>
      </w:r>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继续加大体育行政执法力度，加强对高危险性体育项目的行政许可专项管理，切实抓好游泳馆等高危体育场所的经营监管，完善对体育竞赛和公共体育设施的监管，维护好经营者和消费者的合法权益，为体育事业和体育产业协调发展提供良好法制保障。</w:t>
      </w:r>
    </w:p>
    <w:p>
      <w:pPr>
        <w:pStyle w:val="3"/>
        <w:spacing w:before="0" w:after="0" w:line="560" w:lineRule="exact"/>
        <w:ind w:firstLine="640" w:firstLineChars="200"/>
        <w:rPr>
          <w:rFonts w:ascii="黑体" w:hAnsi="黑体" w:eastAsia="黑体" w:cs="黑体"/>
          <w:b w:val="0"/>
          <w:bCs w:val="0"/>
          <w:color w:val="auto"/>
        </w:rPr>
      </w:pPr>
      <w:r>
        <w:rPr>
          <w:rFonts w:hint="eastAsia" w:ascii="黑体" w:hAnsi="黑体" w:eastAsia="黑体" w:cs="黑体"/>
          <w:b w:val="0"/>
          <w:bCs w:val="0"/>
          <w:color w:val="auto"/>
        </w:rPr>
        <w:t>六、人才保障</w:t>
      </w:r>
    </w:p>
    <w:p>
      <w:pPr>
        <w:spacing w:line="560" w:lineRule="exact"/>
        <w:ind w:firstLine="640" w:firstLineChars="200"/>
        <w:rPr>
          <w:rFonts w:ascii="仿宋" w:hAnsi="仿宋" w:eastAsia="仿宋" w:cstheme="minorBidi"/>
          <w:bCs/>
          <w:color w:val="auto"/>
          <w:sz w:val="32"/>
          <w:szCs w:val="32"/>
        </w:rPr>
      </w:pPr>
      <w:r>
        <w:rPr>
          <w:rFonts w:hint="eastAsia" w:ascii="仿宋" w:hAnsi="仿宋" w:eastAsia="仿宋" w:cstheme="minorBidi"/>
          <w:bCs/>
          <w:color w:val="auto"/>
          <w:sz w:val="32"/>
          <w:szCs w:val="32"/>
        </w:rPr>
        <w:t>加强高层次人才选拔与引进工作。支持体育企业引进国内外体育复合型、高端型等领军人才。积极用好本体育人才，加强本地体育人才培养，构建政府、企业、高校和社会力量互为补充的多元化人才体系。重点建设好体育事业管理人才、体育产业经营管理人才、竞技体育争金夺银人才队伍。</w:t>
      </w:r>
    </w:p>
    <w:p>
      <w:pPr>
        <w:pStyle w:val="3"/>
        <w:spacing w:before="0" w:after="0" w:line="560" w:lineRule="exact"/>
        <w:ind w:firstLine="640" w:firstLineChars="200"/>
        <w:rPr>
          <w:rFonts w:ascii="黑体" w:hAnsi="黑体" w:eastAsia="黑体" w:cs="黑体"/>
          <w:b w:val="0"/>
          <w:bCs w:val="0"/>
          <w:color w:val="auto"/>
        </w:rPr>
      </w:pPr>
      <w:r>
        <w:rPr>
          <w:rFonts w:hint="eastAsia" w:ascii="黑体" w:hAnsi="黑体" w:eastAsia="黑体" w:cs="黑体"/>
          <w:b w:val="0"/>
          <w:bCs w:val="0"/>
          <w:color w:val="auto"/>
        </w:rPr>
        <w:t>七、安全保障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stheme="minorBidi"/>
          <w:bCs/>
          <w:color w:val="auto"/>
          <w:sz w:val="32"/>
          <w:szCs w:val="32"/>
        </w:rPr>
        <w:t>加强安全风险防范，</w:t>
      </w:r>
      <w:r>
        <w:rPr>
          <w:rFonts w:hint="eastAsia" w:ascii="仿宋" w:hAnsi="仿宋" w:eastAsia="仿宋"/>
          <w:color w:val="auto"/>
          <w:sz w:val="32"/>
          <w:szCs w:val="32"/>
        </w:rPr>
        <w:t>把安全生产纳入相关发展规划和年度计划，在赛事举办、活动开展、场馆运营等方面加强安全生产监督管理；构建安全风险分级管控和隐患排查治理预防机制，研究制定分管行业安全风险辨识标准分级管控制度，</w:t>
      </w:r>
      <w:r>
        <w:rPr>
          <w:rFonts w:ascii="仿宋" w:hAnsi="仿宋" w:eastAsia="仿宋"/>
          <w:color w:val="auto"/>
          <w:sz w:val="32"/>
          <w:szCs w:val="32"/>
        </w:rPr>
        <w:t>提高风险预警、预判、预防和应急处置能力</w:t>
      </w:r>
      <w:r>
        <w:rPr>
          <w:rFonts w:hint="eastAsia" w:ascii="仿宋" w:hAnsi="仿宋" w:eastAsia="仿宋"/>
          <w:color w:val="auto"/>
          <w:sz w:val="32"/>
          <w:szCs w:val="32"/>
        </w:rPr>
        <w:t>。</w:t>
      </w:r>
    </w:p>
    <w:p>
      <w:pPr>
        <w:rPr>
          <w:color w:val="auto"/>
        </w:rPr>
      </w:pPr>
    </w:p>
    <w:p>
      <w:pPr>
        <w:pStyle w:val="2"/>
        <w:rPr>
          <w:color w:val="auto"/>
        </w:rPr>
      </w:pPr>
      <w:r>
        <w:rPr>
          <w:color w:val="auto"/>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ascii="黑体" w:hAnsi="黑体" w:eastAsia="黑体" w:cstheme="minorBidi"/>
          <w:b w:val="0"/>
          <w:bCs w:val="0"/>
          <w:color w:val="auto"/>
          <w:sz w:val="32"/>
          <w:szCs w:val="32"/>
        </w:rPr>
      </w:pPr>
      <w:bookmarkStart w:id="390" w:name="_Toc19316"/>
      <w:bookmarkStart w:id="391" w:name="_Toc24983"/>
      <w:bookmarkStart w:id="392" w:name="_Toc27062"/>
      <w:bookmarkStart w:id="393" w:name="_Toc29065"/>
      <w:bookmarkStart w:id="394" w:name="_Toc25625"/>
      <w:bookmarkStart w:id="395" w:name="_Toc16483"/>
      <w:bookmarkStart w:id="396" w:name="_Toc13724"/>
      <w:bookmarkStart w:id="397" w:name="_Toc32159"/>
      <w:bookmarkStart w:id="398" w:name="_Toc3492"/>
      <w:bookmarkStart w:id="399" w:name="_Toc79870507"/>
      <w:r>
        <w:rPr>
          <w:rFonts w:hint="eastAsia" w:ascii="黑体" w:hAnsi="黑体" w:eastAsia="黑体" w:cstheme="minorBidi"/>
          <w:b w:val="0"/>
          <w:bCs w:val="0"/>
          <w:color w:val="auto"/>
          <w:sz w:val="32"/>
          <w:szCs w:val="32"/>
        </w:rPr>
        <w:t>附件</w:t>
      </w:r>
      <w:bookmarkEnd w:id="390"/>
      <w:bookmarkEnd w:id="391"/>
      <w:bookmarkEnd w:id="392"/>
      <w:bookmarkEnd w:id="393"/>
      <w:bookmarkEnd w:id="394"/>
      <w:bookmarkEnd w:id="395"/>
      <w:bookmarkEnd w:id="396"/>
      <w:bookmarkEnd w:id="397"/>
      <w:bookmarkEnd w:id="398"/>
      <w:r>
        <w:rPr>
          <w:rFonts w:hint="eastAsia" w:ascii="黑体" w:hAnsi="黑体" w:eastAsia="黑体" w:cstheme="minorBidi"/>
          <w:b w:val="0"/>
          <w:bCs w:val="0"/>
          <w:color w:val="auto"/>
          <w:sz w:val="32"/>
          <w:szCs w:val="32"/>
        </w:rPr>
        <w:t>：1</w:t>
      </w:r>
      <w:bookmarkEnd w:id="399"/>
      <w:bookmarkStart w:id="400" w:name="_Toc16858"/>
      <w:bookmarkStart w:id="401" w:name="_Toc10423"/>
      <w:bookmarkStart w:id="402" w:name="_Toc9503"/>
      <w:bookmarkStart w:id="403" w:name="_Toc19192"/>
      <w:bookmarkStart w:id="404" w:name="_Toc11211"/>
      <w:bookmarkStart w:id="405" w:name="_Toc26562"/>
      <w:bookmarkStart w:id="406" w:name="_Toc7906"/>
      <w:bookmarkStart w:id="407" w:name="_Toc1607"/>
      <w:bookmarkStart w:id="408" w:name="_Toc24169"/>
    </w:p>
    <w:p>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color w:val="auto"/>
        </w:rPr>
      </w:pPr>
      <w:bookmarkStart w:id="409" w:name="_Toc79870508"/>
      <w:r>
        <w:rPr>
          <w:rFonts w:hint="eastAsia" w:ascii="宋体" w:hAnsi="宋体" w:cs="宋体"/>
          <w:color w:val="auto"/>
          <w:sz w:val="32"/>
          <w:szCs w:val="32"/>
        </w:rPr>
        <w:t>“十四五”期间焦作体育发展主要指标</w:t>
      </w:r>
      <w:bookmarkEnd w:id="400"/>
      <w:bookmarkEnd w:id="401"/>
      <w:bookmarkEnd w:id="402"/>
      <w:bookmarkEnd w:id="403"/>
      <w:bookmarkEnd w:id="404"/>
      <w:bookmarkEnd w:id="405"/>
      <w:bookmarkEnd w:id="406"/>
      <w:bookmarkEnd w:id="407"/>
      <w:bookmarkEnd w:id="408"/>
      <w:bookmarkEnd w:id="409"/>
    </w:p>
    <w:p>
      <w:pPr>
        <w:ind w:firstLine="420" w:firstLineChars="200"/>
        <w:rPr>
          <w:color w:val="auto"/>
        </w:rPr>
      </w:pPr>
    </w:p>
    <w:tbl>
      <w:tblPr>
        <w:tblStyle w:val="21"/>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21"/>
        <w:gridCol w:w="184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auto"/>
                <w:sz w:val="24"/>
                <w:szCs w:val="24"/>
              </w:rPr>
            </w:pPr>
            <w:r>
              <w:rPr>
                <w:rFonts w:hint="eastAsia" w:asciiTheme="minorEastAsia" w:hAnsiTheme="minorEastAsia"/>
                <w:b/>
                <w:bCs/>
                <w:color w:val="auto"/>
                <w:sz w:val="24"/>
                <w:szCs w:val="24"/>
              </w:rPr>
              <w:t>类别</w:t>
            </w:r>
          </w:p>
        </w:tc>
        <w:tc>
          <w:tcPr>
            <w:tcW w:w="4121" w:type="dxa"/>
            <w:tcBorders>
              <w:top w:val="single" w:color="auto" w:sz="4" w:space="0"/>
              <w:left w:val="nil"/>
              <w:bottom w:val="single" w:color="auto" w:sz="4" w:space="0"/>
              <w:right w:val="single" w:color="auto" w:sz="4" w:space="0"/>
            </w:tcBorders>
            <w:vAlign w:val="center"/>
          </w:tcPr>
          <w:p>
            <w:pPr>
              <w:ind w:firstLine="481" w:firstLineChars="200"/>
              <w:jc w:val="center"/>
              <w:rPr>
                <w:rFonts w:asciiTheme="minorEastAsia" w:hAnsiTheme="minorEastAsia"/>
                <w:b/>
                <w:bCs/>
                <w:color w:val="auto"/>
                <w:sz w:val="24"/>
                <w:szCs w:val="24"/>
              </w:rPr>
            </w:pPr>
            <w:r>
              <w:rPr>
                <w:rFonts w:hint="eastAsia" w:asciiTheme="minorEastAsia" w:hAnsiTheme="minorEastAsia"/>
                <w:b/>
                <w:bCs/>
                <w:color w:val="auto"/>
                <w:sz w:val="24"/>
                <w:szCs w:val="24"/>
              </w:rPr>
              <w:t>指标名称</w:t>
            </w:r>
          </w:p>
        </w:tc>
        <w:tc>
          <w:tcPr>
            <w:tcW w:w="1845" w:type="dxa"/>
            <w:tcBorders>
              <w:top w:val="single" w:color="auto" w:sz="4" w:space="0"/>
              <w:left w:val="nil"/>
              <w:bottom w:val="single" w:color="auto" w:sz="4" w:space="0"/>
              <w:right w:val="single" w:color="auto" w:sz="4" w:space="0"/>
            </w:tcBorders>
            <w:vAlign w:val="center"/>
          </w:tcPr>
          <w:p>
            <w:pPr>
              <w:rPr>
                <w:rFonts w:asciiTheme="minorEastAsia" w:hAnsiTheme="minorEastAsia"/>
                <w:b/>
                <w:bCs/>
                <w:color w:val="auto"/>
                <w:sz w:val="24"/>
                <w:szCs w:val="24"/>
              </w:rPr>
            </w:pPr>
            <w:r>
              <w:rPr>
                <w:rFonts w:hint="eastAsia" w:asciiTheme="minorEastAsia" w:hAnsiTheme="minorEastAsia"/>
                <w:b/>
                <w:bCs/>
                <w:color w:val="auto"/>
                <w:sz w:val="24"/>
                <w:szCs w:val="24"/>
              </w:rPr>
              <w:t>“十四五”目标</w:t>
            </w:r>
          </w:p>
        </w:tc>
        <w:tc>
          <w:tcPr>
            <w:tcW w:w="1263" w:type="dxa"/>
            <w:tcBorders>
              <w:top w:val="single" w:color="auto" w:sz="4" w:space="0"/>
              <w:left w:val="nil"/>
              <w:bottom w:val="single" w:color="auto" w:sz="4" w:space="0"/>
              <w:right w:val="single" w:color="auto" w:sz="4" w:space="0"/>
            </w:tcBorders>
          </w:tcPr>
          <w:p>
            <w:pPr>
              <w:rPr>
                <w:rFonts w:asciiTheme="minorEastAsia" w:hAnsiTheme="minorEastAsia"/>
                <w:b/>
                <w:bCs/>
                <w:color w:val="auto"/>
                <w:sz w:val="24"/>
                <w:szCs w:val="24"/>
              </w:rPr>
            </w:pPr>
            <w:r>
              <w:rPr>
                <w:rFonts w:hint="eastAsia" w:asciiTheme="minorEastAsia" w:hAnsiTheme="minorEastAsia"/>
                <w:b/>
                <w:bCs/>
                <w:color w:val="auto"/>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Merge w:val="restart"/>
            <w:tcBorders>
              <w:top w:val="nil"/>
              <w:left w:val="single" w:color="auto" w:sz="4" w:space="0"/>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群众体育类</w:t>
            </w: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经常参加体育锻炼人数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150万</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人均体育场地面积</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ascii="仿宋" w:hAnsi="仿宋" w:eastAsia="仿宋" w:cs="仿宋"/>
                <w:bCs/>
                <w:color w:val="auto"/>
                <w:sz w:val="24"/>
                <w:szCs w:val="24"/>
              </w:rPr>
              <w:t>2.6</w:t>
            </w:r>
            <w:r>
              <w:rPr>
                <w:rFonts w:hint="eastAsia" w:ascii="仿宋" w:hAnsi="仿宋" w:eastAsia="仿宋" w:cs="仿宋"/>
                <w:bCs/>
                <w:color w:val="auto"/>
                <w:sz w:val="24"/>
                <w:szCs w:val="24"/>
              </w:rPr>
              <w:t>平方米</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新建社区和行政村体育设施覆盖率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w:t>
            </w:r>
            <w:r>
              <w:rPr>
                <w:rFonts w:ascii="仿宋" w:hAnsi="仿宋" w:eastAsia="仿宋" w:cs="仿宋"/>
                <w:bCs/>
                <w:color w:val="auto"/>
                <w:sz w:val="24"/>
                <w:szCs w:val="24"/>
              </w:rPr>
              <w:t>00%</w:t>
            </w:r>
            <w:r>
              <w:rPr>
                <w:rFonts w:hint="eastAsia" w:ascii="仿宋" w:hAnsi="仿宋" w:eastAsia="仿宋" w:cs="仿宋"/>
                <w:bCs/>
                <w:color w:val="auto"/>
                <w:sz w:val="24"/>
                <w:szCs w:val="24"/>
              </w:rPr>
              <w:t>全覆盖</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公共体育设施和符合条件的学校体育场地设施开放率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80%以上</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每万人拥有体育社会组织数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全市各级注册社会体育指导员</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3000人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每千人拥有社会体育指导员</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10人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国民体质监测达标率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94%</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新建、续建社区多功能运动场</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10个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实施小康体育村升级工程</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370个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建成乡镇（街道）全民健身中心、中心村全民健身广场（体育休闲公园）、轮滑公园等</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76个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百姓健身房</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370个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restart"/>
            <w:tcBorders>
              <w:top w:val="nil"/>
              <w:left w:val="single" w:color="auto" w:sz="4" w:space="0"/>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社团</w:t>
            </w: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3A级社团占比</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10%</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省级体育社团新增</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5个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restart"/>
            <w:tcBorders>
              <w:top w:val="nil"/>
              <w:left w:val="single" w:color="auto" w:sz="4" w:space="0"/>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活动</w:t>
            </w:r>
          </w:p>
        </w:tc>
        <w:tc>
          <w:tcPr>
            <w:tcW w:w="412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left" w:pos="2505"/>
              </w:tabs>
              <w:kinsoku/>
              <w:wordWrap/>
              <w:overflowPunct/>
              <w:topLinePunct w:val="0"/>
              <w:autoSpaceDE/>
              <w:autoSpaceDN/>
              <w:bidi w:val="0"/>
              <w:adjustRightInd/>
              <w:snapToGrid/>
              <w:spacing w:line="380" w:lineRule="exact"/>
              <w:jc w:val="left"/>
              <w:textAlignment w:val="auto"/>
              <w:rPr>
                <w:rFonts w:ascii="仿宋" w:hAnsi="仿宋" w:eastAsia="仿宋" w:cs="仿宋"/>
                <w:bCs/>
                <w:color w:val="auto"/>
                <w:sz w:val="24"/>
                <w:szCs w:val="24"/>
              </w:rPr>
            </w:pPr>
            <w:r>
              <w:rPr>
                <w:rFonts w:hint="eastAsia" w:ascii="仿宋" w:hAnsi="仿宋" w:eastAsia="仿宋" w:cs="仿宋"/>
                <w:bCs/>
                <w:color w:val="auto"/>
                <w:sz w:val="24"/>
                <w:szCs w:val="24"/>
              </w:rPr>
              <w:t>培育规模以上群众体育品牌赛事（连续举办5届、人数300人以上）</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10个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每年举办各级各类群众体育赛事活动</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200场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restart"/>
            <w:tcBorders>
              <w:top w:val="nil"/>
              <w:left w:val="single" w:color="auto" w:sz="4" w:space="0"/>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竞技体育类</w:t>
            </w: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开设项目数、注册在训运动员人数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20项4000人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社会力量办竞技体育</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150所（组别）</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培养优秀中青年教练</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各项目训练中心要培育一至两个项目带头人，1-2名全国知名教练员</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创建国家级、省级高水平后备人才基地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国家级5个、省级7个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创建省级及以上训练基地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12个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省级以上校园足球特色学校总数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60所</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奥运会目标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有队员参</w:t>
            </w:r>
            <w:r>
              <w:rPr>
                <w:rFonts w:hint="eastAsia" w:ascii="仿宋" w:hAnsi="仿宋" w:eastAsia="仿宋" w:cs="仿宋"/>
                <w:bCs/>
                <w:color w:val="auto"/>
                <w:sz w:val="24"/>
                <w:szCs w:val="24"/>
                <w:lang w:eastAsia="zh-CN"/>
              </w:rPr>
              <w:t>加</w:t>
            </w:r>
            <w:r>
              <w:rPr>
                <w:rFonts w:hint="eastAsia" w:ascii="仿宋" w:hAnsi="仿宋" w:eastAsia="仿宋" w:cs="仿宋"/>
                <w:bCs/>
                <w:color w:val="auto"/>
                <w:sz w:val="24"/>
                <w:szCs w:val="24"/>
              </w:rPr>
              <w:t>并获牌</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全运会目标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参加运动员</w:t>
            </w:r>
            <w:r>
              <w:rPr>
                <w:rFonts w:hint="eastAsia" w:ascii="仿宋" w:hAnsi="仿宋" w:eastAsia="仿宋" w:cs="仿宋"/>
                <w:bCs/>
                <w:color w:val="auto"/>
                <w:sz w:val="24"/>
                <w:szCs w:val="24"/>
                <w:lang w:val="en-US" w:eastAsia="zh-CN"/>
              </w:rPr>
              <w:t>50</w:t>
            </w:r>
            <w:r>
              <w:rPr>
                <w:rFonts w:hint="eastAsia" w:ascii="仿宋" w:hAnsi="仿宋" w:eastAsia="仿宋" w:cs="仿宋"/>
                <w:bCs/>
                <w:color w:val="auto"/>
                <w:sz w:val="24"/>
                <w:szCs w:val="24"/>
              </w:rPr>
              <w:t>人，有金牌</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省运会目标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第一军团</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其他国际国内大赛成绩</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10个冠军</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向上级运动队输送人才</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向国家队输送2-4人，向省专业队输送150人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培养国家二级以上运动员</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600人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培养国家一级以上裁判员</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20人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34" w:type="dxa"/>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引进安置优秀竞技体育专业人才</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2人</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34" w:type="dxa"/>
            <w:vMerge w:val="restart"/>
            <w:tcBorders>
              <w:top w:val="nil"/>
              <w:left w:val="single" w:color="auto" w:sz="4" w:space="0"/>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体育产业类</w:t>
            </w: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培育省级体育特色小镇</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培育省级体育产业示范基地和体育旅游示范基地；培育市级体育产业示范基地和体育旅游示范基地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省级1-3个；市级5-10个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全市体育产业总产出</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65亿</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体育产业增加值在地区生产总值中的比重</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不低于全省平均比重</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体育服务业增加值占体育产业增加值比重</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60%</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tabs>
                <w:tab w:val="left" w:pos="2505"/>
              </w:tabs>
              <w:spacing w:line="440" w:lineRule="exact"/>
              <w:jc w:val="center"/>
              <w:rPr>
                <w:rFonts w:ascii="仿宋" w:hAnsi="仿宋" w:eastAsia="仿宋" w:cs="仿宋"/>
                <w:b/>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规划建设各类健身步道</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500公里</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heme="minorEastAsia" w:hAnsiTheme="minorEastAsia"/>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规划建设汽车露营基地</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heme="minorEastAsia" w:hAnsiTheme="minorEastAsia"/>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培育、扶持体育制造业集群</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1个</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heme="minorEastAsia" w:hAnsiTheme="minorEastAsia"/>
                <w:color w:val="auto"/>
                <w:sz w:val="24"/>
                <w:szCs w:val="24"/>
              </w:rPr>
            </w:pPr>
          </w:p>
        </w:tc>
        <w:tc>
          <w:tcPr>
            <w:tcW w:w="4121"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left"/>
              <w:rPr>
                <w:rFonts w:ascii="仿宋" w:hAnsi="仿宋" w:eastAsia="仿宋" w:cs="仿宋"/>
                <w:bCs/>
                <w:color w:val="auto"/>
                <w:sz w:val="24"/>
                <w:szCs w:val="24"/>
              </w:rPr>
            </w:pPr>
            <w:r>
              <w:rPr>
                <w:rFonts w:hint="eastAsia" w:ascii="仿宋" w:hAnsi="仿宋" w:eastAsia="仿宋" w:cs="仿宋"/>
                <w:bCs/>
                <w:color w:val="auto"/>
                <w:sz w:val="24"/>
                <w:szCs w:val="24"/>
              </w:rPr>
              <w:t>体彩销售总额</w:t>
            </w:r>
          </w:p>
        </w:tc>
        <w:tc>
          <w:tcPr>
            <w:tcW w:w="1845"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40亿元</w:t>
            </w:r>
          </w:p>
        </w:tc>
        <w:tc>
          <w:tcPr>
            <w:tcW w:w="1263" w:type="dxa"/>
            <w:tcBorders>
              <w:top w:val="single" w:color="auto" w:sz="4" w:space="0"/>
              <w:left w:val="nil"/>
              <w:bottom w:val="single" w:color="auto" w:sz="4" w:space="0"/>
              <w:right w:val="single" w:color="auto" w:sz="4" w:space="0"/>
            </w:tcBorders>
            <w:vAlign w:val="center"/>
          </w:tcPr>
          <w:p>
            <w:pPr>
              <w:tabs>
                <w:tab w:val="left" w:pos="2505"/>
              </w:tabs>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预期性</w:t>
            </w:r>
          </w:p>
        </w:tc>
      </w:tr>
    </w:tbl>
    <w:p>
      <w:pPr>
        <w:spacing w:line="520" w:lineRule="exact"/>
        <w:rPr>
          <w:color w:val="auto"/>
        </w:rPr>
      </w:pPr>
      <w:r>
        <w:rPr>
          <w:rFonts w:hint="eastAsia"/>
          <w:color w:val="auto"/>
        </w:rPr>
        <w:t>（指标体系来源于“健康焦作”考核指标以及焦作市创建全国全民健身示范城市考核指标）</w:t>
      </w:r>
    </w:p>
    <w:p>
      <w:pPr>
        <w:tabs>
          <w:tab w:val="left" w:pos="567"/>
        </w:tabs>
        <w:spacing w:line="520" w:lineRule="exact"/>
        <w:jc w:val="left"/>
        <w:outlineLvl w:val="0"/>
        <w:rPr>
          <w:rFonts w:ascii="黑体" w:hAnsi="黑体" w:eastAsia="黑体" w:cs="黑体"/>
          <w:color w:val="auto"/>
          <w:sz w:val="32"/>
          <w:szCs w:val="32"/>
        </w:rPr>
      </w:pPr>
      <w:bookmarkStart w:id="410" w:name="_Toc79870509"/>
      <w:r>
        <w:rPr>
          <w:rFonts w:hint="eastAsia" w:ascii="黑体" w:hAnsi="黑体" w:eastAsia="黑体" w:cs="黑体"/>
          <w:color w:val="auto"/>
          <w:sz w:val="32"/>
          <w:szCs w:val="32"/>
        </w:rPr>
        <w:t>附件2：</w:t>
      </w:r>
      <w:bookmarkEnd w:id="410"/>
    </w:p>
    <w:p>
      <w:pPr>
        <w:tabs>
          <w:tab w:val="left" w:pos="567"/>
        </w:tabs>
        <w:spacing w:line="520" w:lineRule="exact"/>
        <w:ind w:firstLine="642" w:firstLineChars="200"/>
        <w:jc w:val="left"/>
        <w:outlineLvl w:val="0"/>
        <w:rPr>
          <w:rFonts w:ascii="宋体" w:hAnsi="宋体" w:cs="宋体"/>
          <w:b/>
          <w:bCs/>
          <w:color w:val="auto"/>
          <w:sz w:val="32"/>
          <w:szCs w:val="32"/>
        </w:rPr>
      </w:pPr>
      <w:bookmarkStart w:id="411" w:name="_Toc79870510"/>
      <w:r>
        <w:rPr>
          <w:rFonts w:hint="eastAsia" w:ascii="宋体" w:hAnsi="宋体" w:cs="宋体"/>
          <w:b/>
          <w:bCs/>
          <w:color w:val="auto"/>
          <w:sz w:val="32"/>
          <w:szCs w:val="32"/>
        </w:rPr>
        <w:t>“十四五”期间焦作体育发展重大工程</w:t>
      </w:r>
      <w:bookmarkEnd w:id="411"/>
    </w:p>
    <w:tbl>
      <w:tblPr>
        <w:tblStyle w:val="21"/>
        <w:tblpPr w:leftFromText="180" w:rightFromText="180" w:vertAnchor="text" w:horzAnchor="page" w:tblpX="673" w:tblpY="599"/>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70"/>
        <w:gridCol w:w="491"/>
        <w:gridCol w:w="916"/>
        <w:gridCol w:w="2715"/>
        <w:gridCol w:w="960"/>
        <w:gridCol w:w="1035"/>
        <w:gridCol w:w="779"/>
        <w:gridCol w:w="43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10314" w:type="dxa"/>
            <w:gridSpan w:val="10"/>
            <w:vAlign w:val="center"/>
          </w:tcPr>
          <w:p>
            <w:pPr>
              <w:spacing w:line="440" w:lineRule="exact"/>
              <w:rPr>
                <w:rFonts w:ascii="仿宋" w:hAnsi="仿宋" w:eastAsia="仿宋" w:cs="仿宋"/>
                <w:b/>
                <w:color w:val="auto"/>
                <w:sz w:val="24"/>
                <w:szCs w:val="24"/>
              </w:rPr>
            </w:pPr>
            <w:r>
              <w:rPr>
                <w:color w:val="auto"/>
              </w:rPr>
              <w:br w:type="page"/>
            </w:r>
            <w:bookmarkStart w:id="412" w:name="_Toc21134"/>
            <w:bookmarkStart w:id="413" w:name="_Toc28018"/>
            <w:bookmarkStart w:id="414" w:name="_Toc16195"/>
            <w:r>
              <w:rPr>
                <w:rFonts w:hint="eastAsia" w:ascii="仿宋" w:hAnsi="仿宋" w:eastAsia="仿宋" w:cs="仿宋"/>
                <w:b/>
                <w:color w:val="auto"/>
                <w:sz w:val="24"/>
                <w:szCs w:val="24"/>
              </w:rPr>
              <w:t>重大建设工程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56"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1370"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项目分类及名称</w:t>
            </w:r>
          </w:p>
        </w:tc>
        <w:tc>
          <w:tcPr>
            <w:tcW w:w="491"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项目性质</w:t>
            </w:r>
          </w:p>
        </w:tc>
        <w:tc>
          <w:tcPr>
            <w:tcW w:w="916"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建设起止年限</w:t>
            </w:r>
          </w:p>
        </w:tc>
        <w:tc>
          <w:tcPr>
            <w:tcW w:w="2715"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建设内容及规模</w:t>
            </w:r>
          </w:p>
        </w:tc>
        <w:tc>
          <w:tcPr>
            <w:tcW w:w="960"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项目总投资</w:t>
            </w:r>
          </w:p>
        </w:tc>
        <w:tc>
          <w:tcPr>
            <w:tcW w:w="1035"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“十四五”计划完成情况</w:t>
            </w:r>
          </w:p>
        </w:tc>
        <w:tc>
          <w:tcPr>
            <w:tcW w:w="1218" w:type="dxa"/>
            <w:gridSpan w:val="2"/>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资金情况</w:t>
            </w:r>
          </w:p>
        </w:tc>
        <w:tc>
          <w:tcPr>
            <w:tcW w:w="953" w:type="dxa"/>
            <w:vMerge w:val="restart"/>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用地规模（亩）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656" w:type="dxa"/>
            <w:vMerge w:val="continue"/>
            <w:vAlign w:val="center"/>
          </w:tcPr>
          <w:p>
            <w:pPr>
              <w:tabs>
                <w:tab w:val="left" w:pos="2505"/>
              </w:tabs>
              <w:spacing w:line="280" w:lineRule="exact"/>
              <w:jc w:val="center"/>
              <w:rPr>
                <w:rFonts w:ascii="仿宋" w:hAnsi="仿宋" w:eastAsia="仿宋" w:cs="仿宋"/>
                <w:b/>
                <w:color w:val="auto"/>
                <w:sz w:val="24"/>
                <w:szCs w:val="24"/>
              </w:rPr>
            </w:pPr>
          </w:p>
        </w:tc>
        <w:tc>
          <w:tcPr>
            <w:tcW w:w="1370" w:type="dxa"/>
            <w:vMerge w:val="continue"/>
            <w:vAlign w:val="center"/>
          </w:tcPr>
          <w:p>
            <w:pPr>
              <w:tabs>
                <w:tab w:val="left" w:pos="2505"/>
              </w:tabs>
              <w:spacing w:line="280" w:lineRule="exact"/>
              <w:rPr>
                <w:rFonts w:ascii="仿宋" w:hAnsi="仿宋" w:eastAsia="仿宋" w:cs="仿宋"/>
                <w:b/>
                <w:color w:val="auto"/>
                <w:sz w:val="24"/>
                <w:szCs w:val="24"/>
              </w:rPr>
            </w:pPr>
          </w:p>
        </w:tc>
        <w:tc>
          <w:tcPr>
            <w:tcW w:w="491" w:type="dxa"/>
            <w:vMerge w:val="continue"/>
            <w:vAlign w:val="center"/>
          </w:tcPr>
          <w:p>
            <w:pPr>
              <w:tabs>
                <w:tab w:val="left" w:pos="2505"/>
              </w:tabs>
              <w:spacing w:line="280" w:lineRule="exact"/>
              <w:rPr>
                <w:rFonts w:ascii="仿宋" w:hAnsi="仿宋" w:eastAsia="仿宋" w:cs="仿宋"/>
                <w:b/>
                <w:color w:val="auto"/>
                <w:sz w:val="24"/>
                <w:szCs w:val="24"/>
              </w:rPr>
            </w:pPr>
          </w:p>
        </w:tc>
        <w:tc>
          <w:tcPr>
            <w:tcW w:w="916" w:type="dxa"/>
            <w:vMerge w:val="continue"/>
            <w:vAlign w:val="center"/>
          </w:tcPr>
          <w:p>
            <w:pPr>
              <w:tabs>
                <w:tab w:val="left" w:pos="2505"/>
              </w:tabs>
              <w:spacing w:line="280" w:lineRule="exact"/>
              <w:rPr>
                <w:rFonts w:ascii="仿宋" w:hAnsi="仿宋" w:eastAsia="仿宋" w:cs="仿宋"/>
                <w:b/>
                <w:color w:val="auto"/>
                <w:sz w:val="24"/>
                <w:szCs w:val="24"/>
              </w:rPr>
            </w:pPr>
          </w:p>
        </w:tc>
        <w:tc>
          <w:tcPr>
            <w:tcW w:w="2715" w:type="dxa"/>
            <w:vMerge w:val="continue"/>
            <w:vAlign w:val="center"/>
          </w:tcPr>
          <w:p>
            <w:pPr>
              <w:tabs>
                <w:tab w:val="left" w:pos="2505"/>
              </w:tabs>
              <w:spacing w:line="280" w:lineRule="exact"/>
              <w:rPr>
                <w:rFonts w:ascii="仿宋" w:hAnsi="仿宋" w:eastAsia="仿宋" w:cs="仿宋"/>
                <w:b/>
                <w:color w:val="auto"/>
                <w:sz w:val="24"/>
                <w:szCs w:val="24"/>
              </w:rPr>
            </w:pPr>
          </w:p>
        </w:tc>
        <w:tc>
          <w:tcPr>
            <w:tcW w:w="960" w:type="dxa"/>
            <w:vMerge w:val="continue"/>
            <w:vAlign w:val="center"/>
          </w:tcPr>
          <w:p>
            <w:pPr>
              <w:tabs>
                <w:tab w:val="left" w:pos="2505"/>
              </w:tabs>
              <w:spacing w:line="280" w:lineRule="exact"/>
              <w:rPr>
                <w:rFonts w:ascii="仿宋" w:hAnsi="仿宋" w:eastAsia="仿宋" w:cs="仿宋"/>
                <w:b/>
                <w:color w:val="auto"/>
                <w:sz w:val="24"/>
                <w:szCs w:val="24"/>
              </w:rPr>
            </w:pPr>
          </w:p>
        </w:tc>
        <w:tc>
          <w:tcPr>
            <w:tcW w:w="1035" w:type="dxa"/>
            <w:vMerge w:val="continue"/>
            <w:vAlign w:val="center"/>
          </w:tcPr>
          <w:p>
            <w:pPr>
              <w:tabs>
                <w:tab w:val="left" w:pos="2505"/>
              </w:tabs>
              <w:spacing w:line="280" w:lineRule="exact"/>
              <w:rPr>
                <w:rFonts w:ascii="仿宋" w:hAnsi="仿宋" w:eastAsia="仿宋" w:cs="仿宋"/>
                <w:b/>
                <w:color w:val="auto"/>
                <w:sz w:val="24"/>
                <w:szCs w:val="24"/>
              </w:rPr>
            </w:pPr>
          </w:p>
        </w:tc>
        <w:tc>
          <w:tcPr>
            <w:tcW w:w="779" w:type="dxa"/>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自筹资金</w:t>
            </w:r>
          </w:p>
        </w:tc>
        <w:tc>
          <w:tcPr>
            <w:tcW w:w="439" w:type="dxa"/>
            <w:vAlign w:val="center"/>
          </w:tcPr>
          <w:p>
            <w:pPr>
              <w:tabs>
                <w:tab w:val="left" w:pos="2505"/>
              </w:tabs>
              <w:spacing w:line="28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财政资金</w:t>
            </w:r>
          </w:p>
        </w:tc>
        <w:tc>
          <w:tcPr>
            <w:tcW w:w="953" w:type="dxa"/>
            <w:vMerge w:val="continue"/>
            <w:vAlign w:val="center"/>
          </w:tcPr>
          <w:p>
            <w:pPr>
              <w:tabs>
                <w:tab w:val="left" w:pos="2505"/>
              </w:tabs>
              <w:spacing w:line="280" w:lineRule="exact"/>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5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w:t>
            </w:r>
          </w:p>
        </w:tc>
        <w:tc>
          <w:tcPr>
            <w:tcW w:w="137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焦作市业余篮球学校</w:t>
            </w:r>
          </w:p>
        </w:tc>
        <w:tc>
          <w:tcPr>
            <w:tcW w:w="491"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改建</w:t>
            </w:r>
          </w:p>
        </w:tc>
        <w:tc>
          <w:tcPr>
            <w:tcW w:w="91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2021-2023</w:t>
            </w:r>
          </w:p>
        </w:tc>
        <w:tc>
          <w:tcPr>
            <w:tcW w:w="271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位于焦作市山阳区，项目占地面积28510ｍ</w:t>
            </w:r>
            <w:r>
              <w:rPr>
                <w:rFonts w:hint="eastAsia" w:ascii="仿宋" w:hAnsi="宋体" w:cs="仿宋"/>
                <w:color w:val="auto"/>
                <w:sz w:val="24"/>
                <w:szCs w:val="24"/>
              </w:rPr>
              <w:t>²</w:t>
            </w:r>
            <w:r>
              <w:rPr>
                <w:rFonts w:hint="eastAsia" w:ascii="仿宋" w:hAnsi="仿宋" w:eastAsia="仿宋" w:cs="仿宋"/>
                <w:color w:val="auto"/>
                <w:sz w:val="24"/>
                <w:szCs w:val="24"/>
              </w:rPr>
              <w:t>，建筑面积14797ｍ</w:t>
            </w:r>
            <w:r>
              <w:rPr>
                <w:rFonts w:hint="eastAsia" w:ascii="仿宋" w:hAnsi="宋体" w:cs="仿宋"/>
                <w:color w:val="auto"/>
                <w:sz w:val="24"/>
                <w:szCs w:val="24"/>
              </w:rPr>
              <w:t>²</w:t>
            </w:r>
            <w:r>
              <w:rPr>
                <w:rFonts w:hint="eastAsia" w:ascii="仿宋" w:hAnsi="仿宋" w:eastAsia="仿宋" w:cs="仿宋"/>
                <w:color w:val="auto"/>
                <w:sz w:val="24"/>
                <w:szCs w:val="24"/>
              </w:rPr>
              <w:t>，包括综合训练馆10122ｍ</w:t>
            </w:r>
            <w:r>
              <w:rPr>
                <w:rFonts w:hint="eastAsia" w:ascii="仿宋" w:hAnsi="宋体" w:cs="仿宋"/>
                <w:color w:val="auto"/>
                <w:sz w:val="24"/>
                <w:szCs w:val="24"/>
              </w:rPr>
              <w:t>²</w:t>
            </w:r>
            <w:r>
              <w:rPr>
                <w:rFonts w:hint="eastAsia" w:ascii="仿宋" w:hAnsi="仿宋" w:eastAsia="仿宋" w:cs="仿宋"/>
                <w:color w:val="auto"/>
                <w:sz w:val="24"/>
                <w:szCs w:val="24"/>
              </w:rPr>
              <w:t>、专业运动员和学生宿舍及配套用房3763ｍ</w:t>
            </w:r>
            <w:r>
              <w:rPr>
                <w:rFonts w:hint="eastAsia" w:ascii="仿宋" w:hAnsi="宋体" w:cs="仿宋"/>
                <w:color w:val="auto"/>
                <w:sz w:val="24"/>
                <w:szCs w:val="24"/>
              </w:rPr>
              <w:t>²</w:t>
            </w:r>
            <w:r>
              <w:rPr>
                <w:rFonts w:hint="eastAsia" w:ascii="仿宋" w:hAnsi="仿宋" w:eastAsia="仿宋" w:cs="仿宋"/>
                <w:color w:val="auto"/>
                <w:sz w:val="24"/>
                <w:szCs w:val="24"/>
              </w:rPr>
              <w:t>。</w:t>
            </w:r>
          </w:p>
        </w:tc>
        <w:tc>
          <w:tcPr>
            <w:tcW w:w="96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7489.14万</w:t>
            </w:r>
          </w:p>
        </w:tc>
        <w:tc>
          <w:tcPr>
            <w:tcW w:w="103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建成并投入使用</w:t>
            </w:r>
          </w:p>
        </w:tc>
        <w:tc>
          <w:tcPr>
            <w:tcW w:w="77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0</w:t>
            </w:r>
          </w:p>
        </w:tc>
        <w:tc>
          <w:tcPr>
            <w:tcW w:w="43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ascii="PingFang SC" w:hAnsi="宋体"/>
                <w:b/>
                <w:bCs/>
                <w:color w:val="auto"/>
                <w:sz w:val="24"/>
                <w:shd w:val="clear" w:color="auto" w:fill="FFFFFF"/>
              </w:rPr>
              <w:t>√</w:t>
            </w:r>
          </w:p>
        </w:tc>
        <w:tc>
          <w:tcPr>
            <w:tcW w:w="953"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65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2</w:t>
            </w:r>
          </w:p>
        </w:tc>
        <w:tc>
          <w:tcPr>
            <w:tcW w:w="137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国家级“水上国民休闲运动中心”（焦作市业余水上运动学校）</w:t>
            </w:r>
          </w:p>
        </w:tc>
        <w:tc>
          <w:tcPr>
            <w:tcW w:w="491"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新建</w:t>
            </w:r>
          </w:p>
        </w:tc>
        <w:tc>
          <w:tcPr>
            <w:tcW w:w="91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2022-2024</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cs="仿宋"/>
                <w:color w:val="auto"/>
                <w:sz w:val="24"/>
                <w:szCs w:val="24"/>
                <w:shd w:val="clear" w:color="auto" w:fill="FFFFFF"/>
              </w:rPr>
            </w:pPr>
            <w:r>
              <w:rPr>
                <w:rFonts w:hint="eastAsia" w:ascii="仿宋" w:hAnsi="仿宋" w:eastAsia="仿宋" w:cs="仿宋"/>
                <w:color w:val="auto"/>
                <w:sz w:val="24"/>
                <w:szCs w:val="24"/>
              </w:rPr>
              <w:t>项目占地面积100005ｍ</w:t>
            </w:r>
            <w:r>
              <w:rPr>
                <w:rFonts w:hint="eastAsia" w:ascii="仿宋" w:hAnsi="宋体" w:cs="仿宋"/>
                <w:color w:val="auto"/>
                <w:sz w:val="24"/>
                <w:szCs w:val="24"/>
              </w:rPr>
              <w:t>²</w:t>
            </w:r>
            <w:r>
              <w:rPr>
                <w:rFonts w:hint="eastAsia" w:ascii="仿宋" w:hAnsi="仿宋" w:eastAsia="仿宋" w:cs="仿宋"/>
                <w:color w:val="auto"/>
                <w:sz w:val="24"/>
                <w:szCs w:val="24"/>
              </w:rPr>
              <w:t>，建筑面积26200ｍ</w:t>
            </w:r>
            <w:r>
              <w:rPr>
                <w:rFonts w:hint="eastAsia" w:ascii="仿宋" w:hAnsi="宋体" w:cs="仿宋"/>
                <w:color w:val="auto"/>
                <w:sz w:val="24"/>
                <w:szCs w:val="24"/>
              </w:rPr>
              <w:t>²</w:t>
            </w:r>
            <w:r>
              <w:rPr>
                <w:rFonts w:hint="eastAsia" w:ascii="仿宋" w:hAnsi="仿宋" w:eastAsia="仿宋" w:cs="仿宋"/>
                <w:color w:val="auto"/>
                <w:sz w:val="24"/>
                <w:szCs w:val="24"/>
              </w:rPr>
              <w:t>，包含1.综合楼3500ｍ</w:t>
            </w:r>
            <w:r>
              <w:rPr>
                <w:rFonts w:hint="eastAsia" w:ascii="仿宋" w:hAnsi="宋体" w:cs="仿宋"/>
                <w:color w:val="auto"/>
                <w:sz w:val="24"/>
                <w:szCs w:val="24"/>
              </w:rPr>
              <w:t>²，2.</w:t>
            </w:r>
            <w:r>
              <w:rPr>
                <w:rFonts w:hint="eastAsia" w:ascii="仿宋" w:hAnsi="仿宋" w:eastAsia="仿宋" w:cs="仿宋"/>
                <w:color w:val="auto"/>
                <w:sz w:val="24"/>
                <w:szCs w:val="24"/>
              </w:rPr>
              <w:t>综合训练馆4500ｍ</w:t>
            </w:r>
            <w:r>
              <w:rPr>
                <w:rFonts w:hint="eastAsia" w:ascii="仿宋" w:hAnsi="宋体" w:cs="仿宋"/>
                <w:color w:val="auto"/>
                <w:sz w:val="24"/>
                <w:szCs w:val="24"/>
              </w:rPr>
              <w:t>²，3.</w:t>
            </w:r>
            <w:r>
              <w:rPr>
                <w:rFonts w:hint="eastAsia" w:ascii="仿宋" w:hAnsi="仿宋" w:eastAsia="仿宋" w:cs="仿宋"/>
                <w:color w:val="auto"/>
                <w:sz w:val="24"/>
                <w:szCs w:val="24"/>
              </w:rPr>
              <w:t>智慧游泳馆2600ｍ</w:t>
            </w:r>
            <w:r>
              <w:rPr>
                <w:rFonts w:hint="eastAsia" w:ascii="仿宋" w:hAnsi="仿宋" w:cs="仿宋"/>
                <w:color w:val="auto"/>
                <w:sz w:val="24"/>
                <w:szCs w:val="24"/>
              </w:rPr>
              <w:t>²</w:t>
            </w:r>
            <w:r>
              <w:rPr>
                <w:rFonts w:hint="eastAsia" w:ascii="仿宋" w:hAnsi="仿宋" w:eastAsia="仿宋" w:cs="仿宋"/>
                <w:color w:val="auto"/>
                <w:sz w:val="24"/>
                <w:szCs w:val="24"/>
              </w:rPr>
              <w:t>，4.运动员住宿楼4800ｍ</w:t>
            </w:r>
            <w:r>
              <w:rPr>
                <w:rFonts w:hint="eastAsia" w:ascii="仿宋" w:hAnsi="仿宋" w:cs="仿宋"/>
                <w:color w:val="auto"/>
                <w:sz w:val="24"/>
                <w:szCs w:val="24"/>
              </w:rPr>
              <w:t>²</w:t>
            </w:r>
            <w:r>
              <w:rPr>
                <w:rFonts w:hint="eastAsia" w:ascii="仿宋" w:hAnsi="仿宋" w:eastAsia="仿宋" w:cs="仿宋"/>
                <w:color w:val="auto"/>
                <w:sz w:val="24"/>
                <w:szCs w:val="24"/>
              </w:rPr>
              <w:t>,5.国家队运动员公寓楼4800ｍ</w:t>
            </w:r>
            <w:r>
              <w:rPr>
                <w:rFonts w:hint="eastAsia" w:ascii="仿宋" w:hAnsi="仿宋" w:cs="仿宋"/>
                <w:color w:val="auto"/>
                <w:sz w:val="24"/>
                <w:szCs w:val="24"/>
              </w:rPr>
              <w:t>²</w:t>
            </w:r>
            <w:r>
              <w:rPr>
                <w:rFonts w:hint="eastAsia" w:ascii="仿宋" w:hAnsi="仿宋" w:eastAsia="仿宋" w:cs="仿宋"/>
                <w:color w:val="auto"/>
                <w:sz w:val="24"/>
                <w:szCs w:val="24"/>
              </w:rPr>
              <w:t>,6.餐厅1200ｍ</w:t>
            </w:r>
            <w:r>
              <w:rPr>
                <w:rFonts w:hint="eastAsia" w:ascii="仿宋" w:hAnsi="仿宋" w:cs="仿宋"/>
                <w:color w:val="auto"/>
                <w:sz w:val="24"/>
                <w:szCs w:val="24"/>
              </w:rPr>
              <w:t>²。</w:t>
            </w:r>
          </w:p>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p>
        </w:tc>
        <w:tc>
          <w:tcPr>
            <w:tcW w:w="96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50000万</w:t>
            </w:r>
          </w:p>
        </w:tc>
        <w:tc>
          <w:tcPr>
            <w:tcW w:w="103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建成并投入使用</w:t>
            </w:r>
          </w:p>
        </w:tc>
        <w:tc>
          <w:tcPr>
            <w:tcW w:w="77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50000万</w:t>
            </w:r>
          </w:p>
        </w:tc>
        <w:tc>
          <w:tcPr>
            <w:tcW w:w="43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0</w:t>
            </w:r>
          </w:p>
        </w:tc>
        <w:tc>
          <w:tcPr>
            <w:tcW w:w="953"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32"/>
              </w:rPr>
              <w:t>150亩（其中水上国民休闲运动中心90亩，大沙河两侧绿化带5%配比建设用地60亩）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65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3</w:t>
            </w:r>
          </w:p>
        </w:tc>
        <w:tc>
          <w:tcPr>
            <w:tcW w:w="137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太极体育中心国家体育产业示范基地打造工程</w:t>
            </w:r>
          </w:p>
        </w:tc>
        <w:tc>
          <w:tcPr>
            <w:tcW w:w="491"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拟建</w:t>
            </w:r>
          </w:p>
        </w:tc>
        <w:tc>
          <w:tcPr>
            <w:tcW w:w="91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ascii="仿宋" w:hAnsi="仿宋" w:eastAsia="仿宋" w:cs="仿宋"/>
                <w:color w:val="auto"/>
                <w:sz w:val="24"/>
                <w:szCs w:val="24"/>
              </w:rPr>
              <w:t>2021-2025</w:t>
            </w:r>
          </w:p>
        </w:tc>
        <w:tc>
          <w:tcPr>
            <w:tcW w:w="271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在体育中心内建设极限公园、三号看台改造、30000平方米体操培训中心、增加夜间经济业态、提升美化、绿化、亮华工程。</w:t>
            </w:r>
          </w:p>
        </w:tc>
        <w:tc>
          <w:tcPr>
            <w:tcW w:w="96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ascii="仿宋" w:hAnsi="仿宋" w:eastAsia="仿宋" w:cs="仿宋"/>
                <w:color w:val="auto"/>
                <w:sz w:val="24"/>
                <w:szCs w:val="24"/>
              </w:rPr>
              <w:t>1.5亿</w:t>
            </w:r>
          </w:p>
        </w:tc>
        <w:tc>
          <w:tcPr>
            <w:tcW w:w="103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建成并投入使用</w:t>
            </w:r>
          </w:p>
        </w:tc>
        <w:tc>
          <w:tcPr>
            <w:tcW w:w="77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ascii="仿宋" w:hAnsi="仿宋" w:eastAsia="仿宋" w:cs="仿宋"/>
                <w:color w:val="auto"/>
                <w:sz w:val="24"/>
                <w:szCs w:val="24"/>
              </w:rPr>
              <w:t>500万</w:t>
            </w:r>
          </w:p>
        </w:tc>
        <w:tc>
          <w:tcPr>
            <w:tcW w:w="43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ascii="仿宋" w:hAnsi="仿宋" w:eastAsia="仿宋" w:cs="仿宋"/>
                <w:color w:val="auto"/>
                <w:sz w:val="24"/>
                <w:szCs w:val="24"/>
              </w:rPr>
              <w:t>1亿</w:t>
            </w:r>
          </w:p>
        </w:tc>
        <w:tc>
          <w:tcPr>
            <w:tcW w:w="953"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30亩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5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4</w:t>
            </w:r>
          </w:p>
        </w:tc>
        <w:tc>
          <w:tcPr>
            <w:tcW w:w="137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温县国家体育产业示范基地打造工程</w:t>
            </w:r>
          </w:p>
        </w:tc>
        <w:tc>
          <w:tcPr>
            <w:tcW w:w="491"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拟建</w:t>
            </w:r>
          </w:p>
        </w:tc>
        <w:tc>
          <w:tcPr>
            <w:tcW w:w="91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2021-2025</w:t>
            </w:r>
          </w:p>
        </w:tc>
        <w:tc>
          <w:tcPr>
            <w:tcW w:w="271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位于焦作市温县，位于焦作市温县。（一）印象·太极项目位于温县陈家沟村，占地面积约41亩，总投资7亿元，项目内容由剧场建设、舞美建设和演出内容创作构成。剧场总建筑面积17150㎡（地上8876㎡，地下8274㎡），建筑高度18.2米，主要包括剧场主体建筑和舞台区打造，可容纳1200名观众。（二）河南省老年人太极拳培训及太极康养中心，项目占地面积 80 亩，总投资8550.16万元，拟建设太极拳培训中心、太极康养中心、老年人健身中心。1、太极拳培训中心占地面积 30 亩，建筑面积 10000 平方米，一楼为培训中心、大型比赛场地、中型比赛场地，二楼为中小型 </w:t>
            </w:r>
            <w:r>
              <w:rPr>
                <w:rFonts w:ascii="仿宋" w:hAnsi="仿宋" w:eastAsia="仿宋" w:cs="仿宋"/>
                <w:color w:val="auto"/>
                <w:sz w:val="24"/>
                <w:szCs w:val="24"/>
              </w:rPr>
              <w:t>VIP</w:t>
            </w:r>
            <w:r>
              <w:rPr>
                <w:rFonts w:hint="eastAsia" w:ascii="仿宋" w:hAnsi="仿宋" w:eastAsia="仿宋" w:cs="仿宋"/>
                <w:color w:val="auto"/>
                <w:sz w:val="24"/>
                <w:szCs w:val="24"/>
              </w:rPr>
              <w:t>培训中心、餐厅、住宿、各类办公室，三楼为大型会议中心。2、老年人太极康养中心占地面积 13 亩，建筑面积 4000 平方米，一层为太极康养培训室、康复运动室、文体娱乐中心、太极康养调理中心，二层为住宿、餐厅，三层为多功能会议室、住宿、餐厅。3、老年人健身中心占地面积 37 亩，其中室外综合广场占地15亩，建筑物占地面积 22 亩，总建筑面积 12000 平方米。为三层建筑结构，一层为普通健身用房、各项专类健身用房，二层为太极健身宣传中心、会议中心、餐厅，三层为私教健身房。</w:t>
            </w:r>
          </w:p>
        </w:tc>
        <w:tc>
          <w:tcPr>
            <w:tcW w:w="96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7.855亿元</w:t>
            </w:r>
          </w:p>
        </w:tc>
        <w:tc>
          <w:tcPr>
            <w:tcW w:w="103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待定</w:t>
            </w:r>
          </w:p>
        </w:tc>
        <w:tc>
          <w:tcPr>
            <w:tcW w:w="77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sz w:val="24"/>
                <w:szCs w:val="24"/>
              </w:rPr>
            </w:pPr>
          </w:p>
        </w:tc>
        <w:tc>
          <w:tcPr>
            <w:tcW w:w="43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sz w:val="24"/>
                <w:szCs w:val="24"/>
              </w:rPr>
            </w:pPr>
          </w:p>
        </w:tc>
        <w:tc>
          <w:tcPr>
            <w:tcW w:w="953"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65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5</w:t>
            </w:r>
          </w:p>
        </w:tc>
        <w:tc>
          <w:tcPr>
            <w:tcW w:w="137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南太行山地户外休闲运动区打造工程</w:t>
            </w:r>
          </w:p>
        </w:tc>
        <w:tc>
          <w:tcPr>
            <w:tcW w:w="491"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拟建</w:t>
            </w:r>
          </w:p>
        </w:tc>
        <w:tc>
          <w:tcPr>
            <w:tcW w:w="91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2021-2025</w:t>
            </w:r>
          </w:p>
        </w:tc>
        <w:tc>
          <w:tcPr>
            <w:tcW w:w="271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项目贯穿焦作市城区、修武县、博爱县、沁阳市，项目建设包含500公里登山步道、骑行道。建成山阳区黄龙山登山步道33.28公里。</w:t>
            </w:r>
          </w:p>
        </w:tc>
        <w:tc>
          <w:tcPr>
            <w:tcW w:w="96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1000万</w:t>
            </w:r>
          </w:p>
        </w:tc>
        <w:tc>
          <w:tcPr>
            <w:tcW w:w="103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建成使用</w:t>
            </w:r>
          </w:p>
        </w:tc>
        <w:tc>
          <w:tcPr>
            <w:tcW w:w="77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0</w:t>
            </w:r>
          </w:p>
        </w:tc>
        <w:tc>
          <w:tcPr>
            <w:tcW w:w="43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财政</w:t>
            </w:r>
          </w:p>
        </w:tc>
        <w:tc>
          <w:tcPr>
            <w:tcW w:w="953"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33.28公里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6</w:t>
            </w:r>
          </w:p>
        </w:tc>
        <w:tc>
          <w:tcPr>
            <w:tcW w:w="137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国家级青少年体育培训中心</w:t>
            </w:r>
          </w:p>
        </w:tc>
        <w:tc>
          <w:tcPr>
            <w:tcW w:w="491"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拟建</w:t>
            </w:r>
          </w:p>
        </w:tc>
        <w:tc>
          <w:tcPr>
            <w:tcW w:w="916"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p>
        </w:tc>
        <w:tc>
          <w:tcPr>
            <w:tcW w:w="271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left"/>
              <w:textAlignment w:val="auto"/>
              <w:rPr>
                <w:rFonts w:ascii="仿宋" w:hAnsi="仿宋" w:eastAsia="仿宋" w:cs="仿宋"/>
                <w:color w:val="auto"/>
                <w:sz w:val="24"/>
                <w:szCs w:val="24"/>
              </w:rPr>
            </w:pPr>
          </w:p>
        </w:tc>
        <w:tc>
          <w:tcPr>
            <w:tcW w:w="960"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2亿</w:t>
            </w:r>
          </w:p>
        </w:tc>
        <w:tc>
          <w:tcPr>
            <w:tcW w:w="1035"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待定</w:t>
            </w:r>
          </w:p>
        </w:tc>
        <w:tc>
          <w:tcPr>
            <w:tcW w:w="77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社会投资</w:t>
            </w:r>
          </w:p>
        </w:tc>
        <w:tc>
          <w:tcPr>
            <w:tcW w:w="439"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p>
        </w:tc>
        <w:tc>
          <w:tcPr>
            <w:tcW w:w="953" w:type="dxa"/>
            <w:vAlign w:val="center"/>
          </w:tcPr>
          <w:p>
            <w:pPr>
              <w:keepNext w:val="0"/>
              <w:keepLines w:val="0"/>
              <w:pageBreakBefore w:val="0"/>
              <w:widowControl w:val="0"/>
              <w:tabs>
                <w:tab w:val="left" w:pos="2505"/>
              </w:tabs>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4"/>
                <w:szCs w:val="24"/>
              </w:rPr>
            </w:pPr>
          </w:p>
        </w:tc>
      </w:tr>
      <w:bookmarkEnd w:id="412"/>
      <w:bookmarkEnd w:id="413"/>
      <w:bookmarkEnd w:id="414"/>
    </w:tbl>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PingFang SC">
    <w:altName w:val="AR PL UKai CN"/>
    <w:panose1 w:val="00000000000000000000"/>
    <w:charset w:val="01"/>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6084A"/>
    <w:multiLevelType w:val="singleLevel"/>
    <w:tmpl w:val="AF76084A"/>
    <w:lvl w:ilvl="0" w:tentative="0">
      <w:start w:val="18"/>
      <w:numFmt w:val="chineseCounting"/>
      <w:suff w:val="nothing"/>
      <w:lvlText w:val="（%1）"/>
      <w:lvlJc w:val="left"/>
      <w:rPr>
        <w:rFonts w:hint="eastAsia"/>
      </w:rPr>
    </w:lvl>
  </w:abstractNum>
  <w:abstractNum w:abstractNumId="1">
    <w:nsid w:val="7B5834BB"/>
    <w:multiLevelType w:val="singleLevel"/>
    <w:tmpl w:val="7B5834B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22"/>
    <w:rsid w:val="00032E40"/>
    <w:rsid w:val="0003448B"/>
    <w:rsid w:val="00045091"/>
    <w:rsid w:val="0005529F"/>
    <w:rsid w:val="00057111"/>
    <w:rsid w:val="00063A40"/>
    <w:rsid w:val="00070B54"/>
    <w:rsid w:val="00082B45"/>
    <w:rsid w:val="000B6122"/>
    <w:rsid w:val="000C30EB"/>
    <w:rsid w:val="000C6FF0"/>
    <w:rsid w:val="000D09B6"/>
    <w:rsid w:val="000D33FA"/>
    <w:rsid w:val="000E2DA7"/>
    <w:rsid w:val="000F1A97"/>
    <w:rsid w:val="001303CA"/>
    <w:rsid w:val="00135ECF"/>
    <w:rsid w:val="00151B9E"/>
    <w:rsid w:val="00182354"/>
    <w:rsid w:val="0018742E"/>
    <w:rsid w:val="00196E89"/>
    <w:rsid w:val="001A1048"/>
    <w:rsid w:val="001E562C"/>
    <w:rsid w:val="002047EC"/>
    <w:rsid w:val="0020529F"/>
    <w:rsid w:val="0021118A"/>
    <w:rsid w:val="002169BE"/>
    <w:rsid w:val="0022355D"/>
    <w:rsid w:val="00241123"/>
    <w:rsid w:val="00262932"/>
    <w:rsid w:val="00267815"/>
    <w:rsid w:val="00281A46"/>
    <w:rsid w:val="00282CA5"/>
    <w:rsid w:val="00286FC5"/>
    <w:rsid w:val="002930FD"/>
    <w:rsid w:val="002A03B5"/>
    <w:rsid w:val="002C4262"/>
    <w:rsid w:val="002D31F1"/>
    <w:rsid w:val="002D793C"/>
    <w:rsid w:val="002E3451"/>
    <w:rsid w:val="002F6C5E"/>
    <w:rsid w:val="00327505"/>
    <w:rsid w:val="0035624E"/>
    <w:rsid w:val="00377674"/>
    <w:rsid w:val="00383D43"/>
    <w:rsid w:val="00387385"/>
    <w:rsid w:val="00387410"/>
    <w:rsid w:val="003B5845"/>
    <w:rsid w:val="003E03F9"/>
    <w:rsid w:val="003E56DE"/>
    <w:rsid w:val="003E6299"/>
    <w:rsid w:val="003F5C93"/>
    <w:rsid w:val="003F6936"/>
    <w:rsid w:val="00401942"/>
    <w:rsid w:val="0041219F"/>
    <w:rsid w:val="004167E0"/>
    <w:rsid w:val="0042697F"/>
    <w:rsid w:val="004501A4"/>
    <w:rsid w:val="004537BC"/>
    <w:rsid w:val="00455EDD"/>
    <w:rsid w:val="004707DB"/>
    <w:rsid w:val="00483CCF"/>
    <w:rsid w:val="00485AD9"/>
    <w:rsid w:val="00487328"/>
    <w:rsid w:val="00491AFC"/>
    <w:rsid w:val="00493DA4"/>
    <w:rsid w:val="004A1340"/>
    <w:rsid w:val="004A22D4"/>
    <w:rsid w:val="004B3552"/>
    <w:rsid w:val="004B62FF"/>
    <w:rsid w:val="004E06C1"/>
    <w:rsid w:val="004F2727"/>
    <w:rsid w:val="00513A3A"/>
    <w:rsid w:val="00524310"/>
    <w:rsid w:val="00526F63"/>
    <w:rsid w:val="005336E5"/>
    <w:rsid w:val="0059558A"/>
    <w:rsid w:val="005A0558"/>
    <w:rsid w:val="005B543B"/>
    <w:rsid w:val="005C5EC6"/>
    <w:rsid w:val="005E16C4"/>
    <w:rsid w:val="005E27CF"/>
    <w:rsid w:val="00605868"/>
    <w:rsid w:val="00613726"/>
    <w:rsid w:val="00614F9C"/>
    <w:rsid w:val="006206DA"/>
    <w:rsid w:val="006430CE"/>
    <w:rsid w:val="00670DA5"/>
    <w:rsid w:val="0068311B"/>
    <w:rsid w:val="006912DE"/>
    <w:rsid w:val="006A50DD"/>
    <w:rsid w:val="006B0E6C"/>
    <w:rsid w:val="00713518"/>
    <w:rsid w:val="00717493"/>
    <w:rsid w:val="007306DC"/>
    <w:rsid w:val="00734112"/>
    <w:rsid w:val="00740831"/>
    <w:rsid w:val="00750AA8"/>
    <w:rsid w:val="00755353"/>
    <w:rsid w:val="007634FC"/>
    <w:rsid w:val="007674D2"/>
    <w:rsid w:val="00782EE5"/>
    <w:rsid w:val="007900B5"/>
    <w:rsid w:val="0079087C"/>
    <w:rsid w:val="007A2327"/>
    <w:rsid w:val="007B0545"/>
    <w:rsid w:val="007C2539"/>
    <w:rsid w:val="007C77EA"/>
    <w:rsid w:val="007D08C7"/>
    <w:rsid w:val="007E3A1E"/>
    <w:rsid w:val="007E3B03"/>
    <w:rsid w:val="007F37F3"/>
    <w:rsid w:val="0081186F"/>
    <w:rsid w:val="00832758"/>
    <w:rsid w:val="00835067"/>
    <w:rsid w:val="00841B9F"/>
    <w:rsid w:val="008444DC"/>
    <w:rsid w:val="008772BD"/>
    <w:rsid w:val="00883C53"/>
    <w:rsid w:val="00890E80"/>
    <w:rsid w:val="008B0A7D"/>
    <w:rsid w:val="008B2926"/>
    <w:rsid w:val="008B71F1"/>
    <w:rsid w:val="008C38E5"/>
    <w:rsid w:val="008E4A5B"/>
    <w:rsid w:val="008F51BE"/>
    <w:rsid w:val="0091310A"/>
    <w:rsid w:val="00927250"/>
    <w:rsid w:val="0093002C"/>
    <w:rsid w:val="009647FB"/>
    <w:rsid w:val="009730F4"/>
    <w:rsid w:val="00973FB5"/>
    <w:rsid w:val="009833D6"/>
    <w:rsid w:val="00986455"/>
    <w:rsid w:val="009A5C3A"/>
    <w:rsid w:val="009B3DCA"/>
    <w:rsid w:val="009C16AD"/>
    <w:rsid w:val="009D1164"/>
    <w:rsid w:val="009D11CD"/>
    <w:rsid w:val="009E2D08"/>
    <w:rsid w:val="009F6CCA"/>
    <w:rsid w:val="00A062D8"/>
    <w:rsid w:val="00A0652D"/>
    <w:rsid w:val="00A132B9"/>
    <w:rsid w:val="00A310BB"/>
    <w:rsid w:val="00A3370E"/>
    <w:rsid w:val="00A3765F"/>
    <w:rsid w:val="00A55002"/>
    <w:rsid w:val="00A60878"/>
    <w:rsid w:val="00A74392"/>
    <w:rsid w:val="00A826F1"/>
    <w:rsid w:val="00A96AD4"/>
    <w:rsid w:val="00AA3529"/>
    <w:rsid w:val="00AE7393"/>
    <w:rsid w:val="00B01580"/>
    <w:rsid w:val="00B16882"/>
    <w:rsid w:val="00B44C34"/>
    <w:rsid w:val="00B55A84"/>
    <w:rsid w:val="00B72D33"/>
    <w:rsid w:val="00B935A7"/>
    <w:rsid w:val="00BA0F18"/>
    <w:rsid w:val="00BA523E"/>
    <w:rsid w:val="00BA7E8D"/>
    <w:rsid w:val="00BB499A"/>
    <w:rsid w:val="00BC46A8"/>
    <w:rsid w:val="00BE30EC"/>
    <w:rsid w:val="00C61344"/>
    <w:rsid w:val="00C6387D"/>
    <w:rsid w:val="00C72B5B"/>
    <w:rsid w:val="00CA3F15"/>
    <w:rsid w:val="00CD706C"/>
    <w:rsid w:val="00CD77C8"/>
    <w:rsid w:val="00D00D27"/>
    <w:rsid w:val="00D17143"/>
    <w:rsid w:val="00D20EF3"/>
    <w:rsid w:val="00D373B1"/>
    <w:rsid w:val="00D45E54"/>
    <w:rsid w:val="00D6146C"/>
    <w:rsid w:val="00D66BBC"/>
    <w:rsid w:val="00D80CAD"/>
    <w:rsid w:val="00DA0BEC"/>
    <w:rsid w:val="00DA1013"/>
    <w:rsid w:val="00DA2BDE"/>
    <w:rsid w:val="00DB7299"/>
    <w:rsid w:val="00DB7A2D"/>
    <w:rsid w:val="00DC3AA5"/>
    <w:rsid w:val="00DD1678"/>
    <w:rsid w:val="00DE2C81"/>
    <w:rsid w:val="00DE3B40"/>
    <w:rsid w:val="00DE510B"/>
    <w:rsid w:val="00DE656B"/>
    <w:rsid w:val="00E03424"/>
    <w:rsid w:val="00E06055"/>
    <w:rsid w:val="00E17EBA"/>
    <w:rsid w:val="00E43209"/>
    <w:rsid w:val="00E50F15"/>
    <w:rsid w:val="00E57B9D"/>
    <w:rsid w:val="00E61301"/>
    <w:rsid w:val="00E74B7E"/>
    <w:rsid w:val="00E82147"/>
    <w:rsid w:val="00E973D1"/>
    <w:rsid w:val="00EB316A"/>
    <w:rsid w:val="00ED1D7A"/>
    <w:rsid w:val="00EE01AE"/>
    <w:rsid w:val="00EF7493"/>
    <w:rsid w:val="00F12D6A"/>
    <w:rsid w:val="00F15DB5"/>
    <w:rsid w:val="00F408EB"/>
    <w:rsid w:val="00F466AB"/>
    <w:rsid w:val="00F474AB"/>
    <w:rsid w:val="00F732E1"/>
    <w:rsid w:val="00F810EF"/>
    <w:rsid w:val="00F825F5"/>
    <w:rsid w:val="00F950B2"/>
    <w:rsid w:val="00FA340E"/>
    <w:rsid w:val="00FA6CD8"/>
    <w:rsid w:val="00FB04DC"/>
    <w:rsid w:val="00FC2957"/>
    <w:rsid w:val="00FC615B"/>
    <w:rsid w:val="00FC7B76"/>
    <w:rsid w:val="01BE4F87"/>
    <w:rsid w:val="01C30181"/>
    <w:rsid w:val="02BB1376"/>
    <w:rsid w:val="02C34BA2"/>
    <w:rsid w:val="03B54E6E"/>
    <w:rsid w:val="03E370D5"/>
    <w:rsid w:val="04187E81"/>
    <w:rsid w:val="04AE1F24"/>
    <w:rsid w:val="04B813DC"/>
    <w:rsid w:val="04C93F1B"/>
    <w:rsid w:val="04F24D72"/>
    <w:rsid w:val="06361AC8"/>
    <w:rsid w:val="064050EB"/>
    <w:rsid w:val="064F092C"/>
    <w:rsid w:val="06623CD8"/>
    <w:rsid w:val="06F22167"/>
    <w:rsid w:val="06FE3D02"/>
    <w:rsid w:val="078702F2"/>
    <w:rsid w:val="07C6570F"/>
    <w:rsid w:val="09AD7CBF"/>
    <w:rsid w:val="09EC7616"/>
    <w:rsid w:val="0A4F4A43"/>
    <w:rsid w:val="0B7569C2"/>
    <w:rsid w:val="0D791A48"/>
    <w:rsid w:val="0D8D56FE"/>
    <w:rsid w:val="0DFA011B"/>
    <w:rsid w:val="0E5142E8"/>
    <w:rsid w:val="0E6C533F"/>
    <w:rsid w:val="0ED24705"/>
    <w:rsid w:val="0F1B6FB3"/>
    <w:rsid w:val="0F941DFB"/>
    <w:rsid w:val="0FE71E01"/>
    <w:rsid w:val="101D33CA"/>
    <w:rsid w:val="10641E8E"/>
    <w:rsid w:val="11E87332"/>
    <w:rsid w:val="134B0371"/>
    <w:rsid w:val="141440D4"/>
    <w:rsid w:val="14575B6F"/>
    <w:rsid w:val="154071FC"/>
    <w:rsid w:val="15D81E2F"/>
    <w:rsid w:val="164327BE"/>
    <w:rsid w:val="173103E4"/>
    <w:rsid w:val="176E0DF5"/>
    <w:rsid w:val="179C08BB"/>
    <w:rsid w:val="17D077D1"/>
    <w:rsid w:val="191C3AC5"/>
    <w:rsid w:val="194B76BB"/>
    <w:rsid w:val="19753B1D"/>
    <w:rsid w:val="19BE3869"/>
    <w:rsid w:val="1AC33331"/>
    <w:rsid w:val="1AFB5F57"/>
    <w:rsid w:val="1C1C72C5"/>
    <w:rsid w:val="1C1F260A"/>
    <w:rsid w:val="1C7521D7"/>
    <w:rsid w:val="1D7A02C9"/>
    <w:rsid w:val="1DD84E6C"/>
    <w:rsid w:val="1E8D2E0A"/>
    <w:rsid w:val="1EBC519D"/>
    <w:rsid w:val="1F7A24CF"/>
    <w:rsid w:val="1FB13EF9"/>
    <w:rsid w:val="1FF64793"/>
    <w:rsid w:val="204F2287"/>
    <w:rsid w:val="20A90B48"/>
    <w:rsid w:val="20AF484C"/>
    <w:rsid w:val="217B0B45"/>
    <w:rsid w:val="22182855"/>
    <w:rsid w:val="22744ED9"/>
    <w:rsid w:val="22F90A6F"/>
    <w:rsid w:val="234A041B"/>
    <w:rsid w:val="24BF5496"/>
    <w:rsid w:val="253722DA"/>
    <w:rsid w:val="25EC040F"/>
    <w:rsid w:val="265F284C"/>
    <w:rsid w:val="26A90E63"/>
    <w:rsid w:val="26AB18E3"/>
    <w:rsid w:val="26AD6779"/>
    <w:rsid w:val="275735C6"/>
    <w:rsid w:val="275F58AC"/>
    <w:rsid w:val="277B2662"/>
    <w:rsid w:val="27D7439E"/>
    <w:rsid w:val="280F7C86"/>
    <w:rsid w:val="286204FE"/>
    <w:rsid w:val="2A2E48D4"/>
    <w:rsid w:val="2C57322B"/>
    <w:rsid w:val="2D4C2CB9"/>
    <w:rsid w:val="2D7F2457"/>
    <w:rsid w:val="2D805502"/>
    <w:rsid w:val="2D96437E"/>
    <w:rsid w:val="2D9A3FFC"/>
    <w:rsid w:val="2E323B53"/>
    <w:rsid w:val="2E553F68"/>
    <w:rsid w:val="2E913C62"/>
    <w:rsid w:val="2E9F2ABF"/>
    <w:rsid w:val="2F245606"/>
    <w:rsid w:val="2FEA4A12"/>
    <w:rsid w:val="3085749A"/>
    <w:rsid w:val="31523E3D"/>
    <w:rsid w:val="32167334"/>
    <w:rsid w:val="32674B75"/>
    <w:rsid w:val="32FA0139"/>
    <w:rsid w:val="3377009B"/>
    <w:rsid w:val="33BE12FC"/>
    <w:rsid w:val="34F42F08"/>
    <w:rsid w:val="35262411"/>
    <w:rsid w:val="355C3E09"/>
    <w:rsid w:val="36AD2A4F"/>
    <w:rsid w:val="381F356A"/>
    <w:rsid w:val="38D77100"/>
    <w:rsid w:val="391C5A73"/>
    <w:rsid w:val="392A1C4C"/>
    <w:rsid w:val="39314B78"/>
    <w:rsid w:val="39871FA0"/>
    <w:rsid w:val="3A44506F"/>
    <w:rsid w:val="3A9D6EDC"/>
    <w:rsid w:val="3B2417E2"/>
    <w:rsid w:val="3BC25775"/>
    <w:rsid w:val="3C7454E8"/>
    <w:rsid w:val="3C7A61F1"/>
    <w:rsid w:val="3C816187"/>
    <w:rsid w:val="3CCC26A7"/>
    <w:rsid w:val="3D4D7E21"/>
    <w:rsid w:val="3D4F58CF"/>
    <w:rsid w:val="3DCE3BF8"/>
    <w:rsid w:val="3E1A5A1E"/>
    <w:rsid w:val="40501F16"/>
    <w:rsid w:val="40564521"/>
    <w:rsid w:val="408712B3"/>
    <w:rsid w:val="40BB30F2"/>
    <w:rsid w:val="41206986"/>
    <w:rsid w:val="4147200B"/>
    <w:rsid w:val="416C5D00"/>
    <w:rsid w:val="41821460"/>
    <w:rsid w:val="418E3CDE"/>
    <w:rsid w:val="422A1B07"/>
    <w:rsid w:val="424743FE"/>
    <w:rsid w:val="42CD240A"/>
    <w:rsid w:val="42E033C8"/>
    <w:rsid w:val="433F79D0"/>
    <w:rsid w:val="443541D1"/>
    <w:rsid w:val="453D58F6"/>
    <w:rsid w:val="455377CA"/>
    <w:rsid w:val="471E2380"/>
    <w:rsid w:val="473162BC"/>
    <w:rsid w:val="475E33E8"/>
    <w:rsid w:val="477A7305"/>
    <w:rsid w:val="48071085"/>
    <w:rsid w:val="48BB7013"/>
    <w:rsid w:val="49D72CE2"/>
    <w:rsid w:val="4AC50F91"/>
    <w:rsid w:val="4B567481"/>
    <w:rsid w:val="4B79048E"/>
    <w:rsid w:val="4BA47FAE"/>
    <w:rsid w:val="4C5E7384"/>
    <w:rsid w:val="4C8F23F4"/>
    <w:rsid w:val="4CBA05C5"/>
    <w:rsid w:val="4D1571A1"/>
    <w:rsid w:val="4D174232"/>
    <w:rsid w:val="4E526694"/>
    <w:rsid w:val="4E9A1AE5"/>
    <w:rsid w:val="4F0819C9"/>
    <w:rsid w:val="5086589D"/>
    <w:rsid w:val="520D78A8"/>
    <w:rsid w:val="52FB47BC"/>
    <w:rsid w:val="53501EDE"/>
    <w:rsid w:val="53F84ED8"/>
    <w:rsid w:val="54126B29"/>
    <w:rsid w:val="54EA0F60"/>
    <w:rsid w:val="55FE282C"/>
    <w:rsid w:val="5708178F"/>
    <w:rsid w:val="57FEEC54"/>
    <w:rsid w:val="581220FF"/>
    <w:rsid w:val="59736377"/>
    <w:rsid w:val="5AD63AB0"/>
    <w:rsid w:val="5C1B4810"/>
    <w:rsid w:val="5C73018D"/>
    <w:rsid w:val="5D776F64"/>
    <w:rsid w:val="5DAA13F7"/>
    <w:rsid w:val="5E1F1102"/>
    <w:rsid w:val="5F102016"/>
    <w:rsid w:val="5FE601AC"/>
    <w:rsid w:val="6018354D"/>
    <w:rsid w:val="608C1D5C"/>
    <w:rsid w:val="60FE6170"/>
    <w:rsid w:val="616961E3"/>
    <w:rsid w:val="61B94121"/>
    <w:rsid w:val="62210507"/>
    <w:rsid w:val="6368602D"/>
    <w:rsid w:val="63746FE8"/>
    <w:rsid w:val="638B5D0A"/>
    <w:rsid w:val="63C17B29"/>
    <w:rsid w:val="63EF83D7"/>
    <w:rsid w:val="641A21BC"/>
    <w:rsid w:val="66151125"/>
    <w:rsid w:val="674507FF"/>
    <w:rsid w:val="691E5F84"/>
    <w:rsid w:val="69BE6BD4"/>
    <w:rsid w:val="6B654413"/>
    <w:rsid w:val="6B7C110B"/>
    <w:rsid w:val="6BAA4105"/>
    <w:rsid w:val="6C0B041F"/>
    <w:rsid w:val="6CA16D19"/>
    <w:rsid w:val="6CB319F1"/>
    <w:rsid w:val="6CCA13FD"/>
    <w:rsid w:val="6CFB338E"/>
    <w:rsid w:val="6D7A50BE"/>
    <w:rsid w:val="6DAF5495"/>
    <w:rsid w:val="6ECF754E"/>
    <w:rsid w:val="6F2B47EE"/>
    <w:rsid w:val="6F6B6191"/>
    <w:rsid w:val="6F6F7A2E"/>
    <w:rsid w:val="704D3A09"/>
    <w:rsid w:val="7063221E"/>
    <w:rsid w:val="70663D7E"/>
    <w:rsid w:val="7093786F"/>
    <w:rsid w:val="714E14C2"/>
    <w:rsid w:val="72427A6A"/>
    <w:rsid w:val="72461222"/>
    <w:rsid w:val="72BA50D4"/>
    <w:rsid w:val="74344DD5"/>
    <w:rsid w:val="744C11D9"/>
    <w:rsid w:val="747767F0"/>
    <w:rsid w:val="750F3689"/>
    <w:rsid w:val="752F41E8"/>
    <w:rsid w:val="763E5240"/>
    <w:rsid w:val="766E2925"/>
    <w:rsid w:val="7686107D"/>
    <w:rsid w:val="77836BCF"/>
    <w:rsid w:val="77C4775E"/>
    <w:rsid w:val="77FF7EEB"/>
    <w:rsid w:val="787A76C5"/>
    <w:rsid w:val="791961BF"/>
    <w:rsid w:val="7A4C7FAA"/>
    <w:rsid w:val="7AC1735B"/>
    <w:rsid w:val="7B5FCD8F"/>
    <w:rsid w:val="7B77FEFB"/>
    <w:rsid w:val="7BC012ED"/>
    <w:rsid w:val="7C0628D5"/>
    <w:rsid w:val="7CEC2663"/>
    <w:rsid w:val="7D436FC5"/>
    <w:rsid w:val="7D4E57FB"/>
    <w:rsid w:val="7D5B7EAE"/>
    <w:rsid w:val="7D951793"/>
    <w:rsid w:val="7DBF1FDB"/>
    <w:rsid w:val="7DDA002C"/>
    <w:rsid w:val="7DF718A2"/>
    <w:rsid w:val="7E727771"/>
    <w:rsid w:val="7E774921"/>
    <w:rsid w:val="7EA954A9"/>
    <w:rsid w:val="7EE406B6"/>
    <w:rsid w:val="7EFD59CD"/>
    <w:rsid w:val="7F7FA5E5"/>
    <w:rsid w:val="7FFB889A"/>
    <w:rsid w:val="8B3F4945"/>
    <w:rsid w:val="8ED92428"/>
    <w:rsid w:val="A9561C12"/>
    <w:rsid w:val="AE6EC44E"/>
    <w:rsid w:val="BE7DE01F"/>
    <w:rsid w:val="CBAF5A38"/>
    <w:rsid w:val="DFF6DD5F"/>
    <w:rsid w:val="DFFD2E14"/>
    <w:rsid w:val="E6BF4B89"/>
    <w:rsid w:val="FCFB262F"/>
    <w:rsid w:val="FCFD4425"/>
    <w:rsid w:val="FDE32561"/>
    <w:rsid w:val="FE57E0AA"/>
    <w:rsid w:val="FF3F6982"/>
    <w:rsid w:val="FFAF791B"/>
    <w:rsid w:val="FFBD5006"/>
    <w:rsid w:val="FFBF27C5"/>
    <w:rsid w:val="FFBF27F6"/>
    <w:rsid w:val="FFEF5313"/>
    <w:rsid w:val="FFFAD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unhideWhenUsed/>
    <w:qFormat/>
    <w:uiPriority w:val="99"/>
    <w:pPr>
      <w:spacing w:afterAutospacing="1"/>
    </w:pPr>
    <w:rPr>
      <w:rFonts w:ascii="Arial" w:hAnsi="Arial"/>
      <w:sz w:val="24"/>
      <w:szCs w:val="24"/>
    </w:rPr>
  </w:style>
  <w:style w:type="paragraph" w:styleId="7">
    <w:name w:val="annotation text"/>
    <w:basedOn w:val="1"/>
    <w:link w:val="41"/>
    <w:semiHidden/>
    <w:unhideWhenUsed/>
    <w:qFormat/>
    <w:uiPriority w:val="99"/>
    <w:pPr>
      <w:jc w:val="left"/>
    </w:pPr>
  </w:style>
  <w:style w:type="paragraph" w:styleId="8">
    <w:name w:val="Body Text"/>
    <w:basedOn w:val="1"/>
    <w:next w:val="6"/>
    <w:qFormat/>
    <w:uiPriority w:val="0"/>
    <w:pPr>
      <w:spacing w:after="120"/>
    </w:pPr>
  </w:style>
  <w:style w:type="paragraph" w:styleId="9">
    <w:name w:val="Body Text Indent"/>
    <w:basedOn w:val="1"/>
    <w:qFormat/>
    <w:uiPriority w:val="0"/>
    <w:pPr>
      <w:tabs>
        <w:tab w:val="left" w:pos="992"/>
      </w:tabs>
      <w:spacing w:after="120"/>
      <w:ind w:left="420" w:leftChars="200"/>
    </w:pPr>
  </w:style>
  <w:style w:type="paragraph" w:styleId="10">
    <w:name w:val="toc 3"/>
    <w:basedOn w:val="1"/>
    <w:next w:val="1"/>
    <w:unhideWhenUsed/>
    <w:qFormat/>
    <w:uiPriority w:val="39"/>
    <w:pPr>
      <w:ind w:left="840" w:leftChars="400"/>
    </w:pPr>
  </w:style>
  <w:style w:type="paragraph" w:styleId="11">
    <w:name w:val="Balloon Text"/>
    <w:basedOn w:val="1"/>
    <w:link w:val="43"/>
    <w:semiHidden/>
    <w:unhideWhenUsed/>
    <w:qFormat/>
    <w:uiPriority w:val="99"/>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qFormat/>
    <w:uiPriority w:val="0"/>
    <w:pPr>
      <w:snapToGrid w:val="0"/>
      <w:jc w:val="left"/>
    </w:pPr>
    <w:rPr>
      <w:sz w:val="18"/>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spacing w:beforeAutospacing="1" w:afterAutospacing="1"/>
      <w:jc w:val="left"/>
    </w:pPr>
    <w:rPr>
      <w:kern w:val="0"/>
      <w:sz w:val="24"/>
    </w:rPr>
  </w:style>
  <w:style w:type="paragraph" w:styleId="18">
    <w:name w:val="Title"/>
    <w:basedOn w:val="1"/>
    <w:next w:val="1"/>
    <w:link w:val="34"/>
    <w:qFormat/>
    <w:uiPriority w:val="10"/>
    <w:pPr>
      <w:spacing w:before="240" w:after="60"/>
      <w:jc w:val="center"/>
      <w:outlineLvl w:val="0"/>
    </w:pPr>
    <w:rPr>
      <w:rFonts w:asciiTheme="majorHAnsi" w:hAnsiTheme="majorHAnsi" w:cstheme="majorBidi"/>
      <w:b/>
      <w:bCs/>
      <w:sz w:val="32"/>
      <w:szCs w:val="32"/>
    </w:rPr>
  </w:style>
  <w:style w:type="paragraph" w:styleId="19">
    <w:name w:val="annotation subject"/>
    <w:basedOn w:val="7"/>
    <w:next w:val="7"/>
    <w:link w:val="42"/>
    <w:semiHidden/>
    <w:unhideWhenUsed/>
    <w:qFormat/>
    <w:uiPriority w:val="99"/>
    <w:rPr>
      <w:b/>
      <w:bCs/>
    </w:rPr>
  </w:style>
  <w:style w:type="paragraph" w:styleId="20">
    <w:name w:val="Body Text First Indent"/>
    <w:basedOn w:val="8"/>
    <w:next w:val="8"/>
    <w:qFormat/>
    <w:uiPriority w:val="0"/>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555555"/>
      <w:u w:val="none"/>
    </w:rPr>
  </w:style>
  <w:style w:type="character" w:styleId="26">
    <w:name w:val="Emphasis"/>
    <w:basedOn w:val="23"/>
    <w:qFormat/>
    <w:uiPriority w:val="20"/>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qFormat/>
    <w:uiPriority w:val="99"/>
    <w:rPr>
      <w:color w:val="0000FF"/>
      <w:u w:val="single"/>
    </w:rPr>
  </w:style>
  <w:style w:type="character" w:styleId="30">
    <w:name w:val="HTML Code"/>
    <w:basedOn w:val="23"/>
    <w:semiHidden/>
    <w:unhideWhenUsed/>
    <w:qFormat/>
    <w:uiPriority w:val="99"/>
    <w:rPr>
      <w:rFonts w:ascii="Courier New" w:hAnsi="Courier New"/>
      <w:sz w:val="20"/>
    </w:rPr>
  </w:style>
  <w:style w:type="character" w:styleId="31">
    <w:name w:val="annotation reference"/>
    <w:basedOn w:val="23"/>
    <w:semiHidden/>
    <w:unhideWhenUsed/>
    <w:qFormat/>
    <w:uiPriority w:val="99"/>
    <w:rPr>
      <w:sz w:val="21"/>
      <w:szCs w:val="21"/>
    </w:rPr>
  </w:style>
  <w:style w:type="character" w:styleId="32">
    <w:name w:val="HTML Cite"/>
    <w:basedOn w:val="23"/>
    <w:semiHidden/>
    <w:unhideWhenUsed/>
    <w:qFormat/>
    <w:uiPriority w:val="99"/>
  </w:style>
  <w:style w:type="character" w:styleId="33">
    <w:name w:val="footnote reference"/>
    <w:basedOn w:val="23"/>
    <w:qFormat/>
    <w:uiPriority w:val="0"/>
    <w:rPr>
      <w:vertAlign w:val="superscript"/>
    </w:rPr>
  </w:style>
  <w:style w:type="character" w:customStyle="1" w:styleId="34">
    <w:name w:val="标题 字符"/>
    <w:basedOn w:val="23"/>
    <w:link w:val="18"/>
    <w:qFormat/>
    <w:uiPriority w:val="10"/>
    <w:rPr>
      <w:rFonts w:eastAsia="宋体" w:asciiTheme="majorHAnsi" w:hAnsiTheme="majorHAnsi" w:cstheme="majorBidi"/>
      <w:b/>
      <w:bCs/>
      <w:sz w:val="32"/>
      <w:szCs w:val="32"/>
    </w:rPr>
  </w:style>
  <w:style w:type="character" w:customStyle="1" w:styleId="35">
    <w:name w:val="标题 2 字符"/>
    <w:basedOn w:val="23"/>
    <w:link w:val="3"/>
    <w:qFormat/>
    <w:uiPriority w:val="9"/>
    <w:rPr>
      <w:rFonts w:asciiTheme="majorHAnsi" w:hAnsiTheme="majorHAnsi" w:eastAsiaTheme="majorEastAsia" w:cstheme="majorBidi"/>
      <w:b/>
      <w:bCs/>
      <w:sz w:val="32"/>
      <w:szCs w:val="32"/>
    </w:rPr>
  </w:style>
  <w:style w:type="character" w:customStyle="1" w:styleId="36">
    <w:name w:val="页眉 字符"/>
    <w:basedOn w:val="23"/>
    <w:link w:val="13"/>
    <w:qFormat/>
    <w:uiPriority w:val="99"/>
    <w:rPr>
      <w:rFonts w:ascii="Times New Roman" w:hAnsi="Times New Roman" w:eastAsia="宋体" w:cs="Times New Roman"/>
      <w:sz w:val="18"/>
      <w:szCs w:val="18"/>
    </w:rPr>
  </w:style>
  <w:style w:type="character" w:customStyle="1" w:styleId="37">
    <w:name w:val="页脚 字符"/>
    <w:basedOn w:val="23"/>
    <w:link w:val="12"/>
    <w:qFormat/>
    <w:uiPriority w:val="99"/>
    <w:rPr>
      <w:rFonts w:ascii="Times New Roman" w:hAnsi="Times New Roman" w:eastAsia="宋体" w:cs="Times New Roman"/>
      <w:sz w:val="18"/>
      <w:szCs w:val="18"/>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1">
    <w:name w:val="批注文字 字符"/>
    <w:basedOn w:val="23"/>
    <w:link w:val="7"/>
    <w:semiHidden/>
    <w:qFormat/>
    <w:uiPriority w:val="99"/>
    <w:rPr>
      <w:rFonts w:ascii="Times New Roman" w:hAnsi="Times New Roman" w:eastAsia="宋体" w:cs="Times New Roman"/>
      <w:kern w:val="2"/>
      <w:sz w:val="21"/>
    </w:rPr>
  </w:style>
  <w:style w:type="character" w:customStyle="1" w:styleId="42">
    <w:name w:val="批注主题 字符"/>
    <w:basedOn w:val="41"/>
    <w:link w:val="19"/>
    <w:semiHidden/>
    <w:qFormat/>
    <w:uiPriority w:val="99"/>
    <w:rPr>
      <w:rFonts w:ascii="Times New Roman" w:hAnsi="Times New Roman" w:eastAsia="宋体" w:cs="Times New Roman"/>
      <w:b/>
      <w:bCs/>
      <w:kern w:val="2"/>
      <w:sz w:val="21"/>
    </w:rPr>
  </w:style>
  <w:style w:type="character" w:customStyle="1" w:styleId="43">
    <w:name w:val="批注框文本 字符"/>
    <w:basedOn w:val="23"/>
    <w:link w:val="11"/>
    <w:semiHidden/>
    <w:qFormat/>
    <w:uiPriority w:val="99"/>
    <w:rPr>
      <w:rFonts w:ascii="Times New Roman" w:hAnsi="Times New Roman" w:eastAsia="宋体" w:cs="Times New Roman"/>
      <w:kern w:val="2"/>
      <w:sz w:val="18"/>
      <w:szCs w:val="18"/>
    </w:rPr>
  </w:style>
  <w:style w:type="character" w:customStyle="1" w:styleId="44">
    <w:name w:val="标题 3 字符"/>
    <w:link w:val="4"/>
    <w:qFormat/>
    <w:uiPriority w:val="9"/>
    <w:rPr>
      <w:b/>
      <w:bCs/>
      <w:sz w:val="32"/>
      <w:szCs w:val="32"/>
    </w:rPr>
  </w:style>
  <w:style w:type="paragraph" w:customStyle="1" w:styleId="45">
    <w:name w:val="Char"/>
    <w:basedOn w:val="1"/>
    <w:semiHidden/>
    <w:qFormat/>
    <w:uiPriority w:val="0"/>
  </w:style>
  <w:style w:type="character" w:customStyle="1" w:styleId="46">
    <w:name w:val="current"/>
    <w:basedOn w:val="23"/>
    <w:qFormat/>
    <w:uiPriority w:val="0"/>
    <w:rPr>
      <w:b/>
      <w:color w:val="FFFFFF"/>
      <w:bdr w:val="single" w:color="DB0002" w:sz="4" w:space="0"/>
      <w:shd w:val="clear" w:color="auto" w:fill="D80D00"/>
    </w:rPr>
  </w:style>
  <w:style w:type="character" w:customStyle="1" w:styleId="47">
    <w:name w:val="icon1"/>
    <w:basedOn w:val="23"/>
    <w:qFormat/>
    <w:uiPriority w:val="0"/>
  </w:style>
  <w:style w:type="character" w:customStyle="1" w:styleId="48">
    <w:name w:val="icon11"/>
    <w:basedOn w:val="23"/>
    <w:qFormat/>
    <w:uiPriority w:val="0"/>
  </w:style>
  <w:style w:type="character" w:customStyle="1" w:styleId="49">
    <w:name w:val="icon12"/>
    <w:basedOn w:val="23"/>
    <w:qFormat/>
    <w:uiPriority w:val="0"/>
  </w:style>
  <w:style w:type="character" w:customStyle="1" w:styleId="50">
    <w:name w:val="icon2"/>
    <w:basedOn w:val="23"/>
    <w:qFormat/>
    <w:uiPriority w:val="0"/>
  </w:style>
  <w:style w:type="character" w:customStyle="1" w:styleId="51">
    <w:name w:val="icon21"/>
    <w:basedOn w:val="23"/>
    <w:qFormat/>
    <w:uiPriority w:val="0"/>
  </w:style>
  <w:style w:type="character" w:customStyle="1" w:styleId="52">
    <w:name w:val="icon22"/>
    <w:basedOn w:val="23"/>
    <w:qFormat/>
    <w:uiPriority w:val="0"/>
  </w:style>
  <w:style w:type="character" w:customStyle="1" w:styleId="53">
    <w:name w:val="icon3"/>
    <w:basedOn w:val="23"/>
    <w:qFormat/>
    <w:uiPriority w:val="0"/>
  </w:style>
  <w:style w:type="character" w:customStyle="1" w:styleId="54">
    <w:name w:val="icon31"/>
    <w:basedOn w:val="23"/>
    <w:qFormat/>
    <w:uiPriority w:val="0"/>
  </w:style>
  <w:style w:type="character" w:customStyle="1" w:styleId="55">
    <w:name w:val="icon32"/>
    <w:basedOn w:val="23"/>
    <w:qFormat/>
    <w:uiPriority w:val="0"/>
  </w:style>
  <w:style w:type="character" w:customStyle="1" w:styleId="56">
    <w:name w:val="icon4"/>
    <w:basedOn w:val="23"/>
    <w:qFormat/>
    <w:uiPriority w:val="0"/>
  </w:style>
  <w:style w:type="character" w:customStyle="1" w:styleId="57">
    <w:name w:val="icon41"/>
    <w:basedOn w:val="23"/>
    <w:qFormat/>
    <w:uiPriority w:val="0"/>
  </w:style>
  <w:style w:type="character" w:customStyle="1" w:styleId="58">
    <w:name w:val="icon42"/>
    <w:basedOn w:val="23"/>
    <w:qFormat/>
    <w:uiPriority w:val="0"/>
  </w:style>
  <w:style w:type="character" w:customStyle="1" w:styleId="59">
    <w:name w:val="disabled"/>
    <w:basedOn w:val="23"/>
    <w:qFormat/>
    <w:uiPriority w:val="0"/>
    <w:rPr>
      <w:color w:val="CCCCCC"/>
      <w:bdr w:val="single" w:color="F3F3F3" w:sz="4" w:space="0"/>
    </w:rPr>
  </w:style>
  <w:style w:type="character" w:customStyle="1" w:styleId="60">
    <w:name w:val="progress-status"/>
    <w:basedOn w:val="23"/>
    <w:qFormat/>
    <w:uiPriority w:val="0"/>
  </w:style>
  <w:style w:type="character" w:customStyle="1" w:styleId="61">
    <w:name w:val="progress-text"/>
    <w:basedOn w:val="23"/>
    <w:qFormat/>
    <w:uiPriority w:val="0"/>
    <w:rPr>
      <w:color w:val="FFFFFF"/>
    </w:rPr>
  </w:style>
  <w:style w:type="paragraph" w:customStyle="1" w:styleId="62">
    <w:name w:val="Char1"/>
    <w:basedOn w:val="1"/>
    <w:qFormat/>
    <w:uiPriority w:val="0"/>
    <w:pPr>
      <w:tabs>
        <w:tab w:val="left" w:pos="360"/>
      </w:tabs>
    </w:pPr>
    <w:rPr>
      <w:sz w:val="24"/>
      <w:szCs w:val="24"/>
    </w:rPr>
  </w:style>
  <w:style w:type="paragraph" w:customStyle="1" w:styleId="6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3633</Words>
  <Characters>20711</Characters>
  <Lines>172</Lines>
  <Paragraphs>48</Paragraphs>
  <TotalTime>52</TotalTime>
  <ScaleCrop>false</ScaleCrop>
  <LinksUpToDate>false</LinksUpToDate>
  <CharactersWithSpaces>24296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2021-08-19T13:54:00Z</dcterms:created>
  <dc:creator>周喜艳 周</dc:creator>
  <cp:lastModifiedBy>greatwall</cp:lastModifiedBy>
  <cp:lastPrinted>2021-12-07T22:28:00Z</cp:lastPrinted>
  <dcterms:modified xsi:type="dcterms:W3CDTF">2022-01-04T14:54:26Z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5EF6B6EBCECD4A4AA9C0A4DD210AD656</vt:lpwstr>
  </property>
</Properties>
</file>